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微软雅黑" w:hAnsi="微软雅黑" w:eastAsia="微软雅黑" w:cs="微软雅黑"/>
          <w:b/>
          <w:color w:val="173F5F"/>
          <w:sz w:val="40"/>
        </w:rPr>
        <w:t>个人背景材料与事实论据摘取</w:t>
      </w:r>
    </w:p>
    <w:p>
      <w:pPr>
        <w:jc w:val="center"/>
      </w:pPr>
      <w:r>
        <w:rPr>
          <w:rFonts w:ascii="微软雅黑" w:hAnsi="微软雅黑" w:eastAsia="微软雅黑" w:cs="微软雅黑"/>
          <w:color w:val="3C3C3C"/>
          <w:sz w:val="24"/>
        </w:rPr>
        <w:t>用于支撑《AI 赋能游戏项目管理》选题依据与品类理解｜左涵俊</w:t>
      </w:r>
    </w:p>
    <w:p/>
    <w:p>
      <w:pPr>
        <w:spacing w:line="276" w:lineRule="auto"/>
        <w:ind w:firstLine="420"/>
      </w:pPr>
      <w:r>
        <w:rPr>
          <w:rFonts w:ascii="微软雅黑" w:hAnsi="微软雅黑" w:eastAsia="微软雅黑" w:cs="微软雅黑"/>
          <w:sz w:val="21"/>
        </w:rPr>
        <w:t>本文件单独整理本课题中可用于支撑选题与方案可信度的个人背景材料。材料主要来自本人此前《动作游戏博弈体系搭建及 IP 角色设计》阶段性报告、个人项目经历与本次课题写作过程中的讨论结论。其作用不是替代项目管理方案正文，而是在 PPT/PDF 附录或备注中证明：本方案选择 IP 动作 PVP 手游作为蓝本，具有长期体验、动作游戏广度、小团队实践和方法论基础。</w:t>
      </w:r>
    </w:p>
    <w:p>
      <w:pPr>
        <w:pStyle w:val="Heading1"/>
      </w:pPr>
      <w:r>
        <w:rPr>
          <w:rFonts w:ascii="微软雅黑" w:hAnsi="微软雅黑" w:eastAsia="微软雅黑" w:cs="微软雅黑"/>
          <w:b/>
          <w:color w:val="173F5F"/>
          <w:sz w:val="32"/>
        </w:rPr>
        <w:t>一、背景定位：为什么我能写这个蓝本</w:t>
      </w:r>
    </w:p>
    <w:p>
      <w:pPr>
        <w:spacing w:line="276" w:lineRule="auto"/>
        <w:ind w:firstLine="420"/>
      </w:pPr>
      <w:r>
        <w:rPr>
          <w:rFonts w:ascii="微软雅黑" w:hAnsi="微软雅黑" w:eastAsia="微软雅黑" w:cs="微软雅黑"/>
          <w:sz w:val="21"/>
        </w:rPr>
        <w:t>本方案选择“IP 改编动作 PVP 手游”作为主蓝本，并以《火影忍者手游》式角色制动作竞技产品作为核心参考。选择理由不是单纯因为该品类熟悉，而是因为它同时具有 IP 内容供给、动作 PVP 博弈、长线版本运营、社区舆情反馈与测试复杂度，能够完整承接“快速接手—冲突决策—复盘规划”的项目管理题目。</w:t>
      </w:r>
    </w:p>
    <w:p>
      <w:pPr>
        <w:pStyle w:val="ListBullet"/>
      </w:pPr>
      <w:r>
        <w:rPr>
          <w:rFonts w:ascii="微软雅黑" w:hAnsi="微软雅黑" w:eastAsia="微软雅黑" w:cs="微软雅黑"/>
          <w:sz w:val="20"/>
        </w:rPr>
        <w:t>深度基础：长期体验《火影忍者手游》决斗场，对 IP 角色转译、PVP 平衡、社区反馈和核心玩家诉求有持续观察。</w:t>
      </w:r>
    </w:p>
    <w:p>
      <w:pPr>
        <w:pStyle w:val="ListBullet"/>
      </w:pPr>
      <w:r>
        <w:rPr>
          <w:rFonts w:ascii="微软雅黑" w:hAnsi="微软雅黑" w:eastAsia="微软雅黑" w:cs="微软雅黑"/>
          <w:sz w:val="20"/>
        </w:rPr>
        <w:t>广度基础：长期体验并拆解只狼、魂系/艾尔登法环、怪物猎人、空洞骑士等动作游戏，理解不同动作系统的学习目标和复杂度来源。</w:t>
      </w:r>
    </w:p>
    <w:p>
      <w:pPr>
        <w:pStyle w:val="ListBullet"/>
      </w:pPr>
      <w:r>
        <w:rPr>
          <w:rFonts w:ascii="微软雅黑" w:hAnsi="微软雅黑" w:eastAsia="微软雅黑" w:cs="微软雅黑"/>
          <w:sz w:val="20"/>
        </w:rPr>
        <w:t>实践基础：完成 Emotion Mask 48 小时独立开发、亚舍拉挽歌团队项目、UE5 多人 Demo、H5 问卷 14 人组统筹、光子 AI 工具课题统筹、C++ 小组作业协作。</w:t>
      </w:r>
    </w:p>
    <w:p>
      <w:pPr>
        <w:pStyle w:val="ListBullet"/>
      </w:pPr>
      <w:r>
        <w:rPr>
          <w:rFonts w:ascii="微软雅黑" w:hAnsi="微软雅黑" w:eastAsia="微软雅黑" w:cs="微软雅黑"/>
          <w:sz w:val="20"/>
        </w:rPr>
        <w:t>方法论基础：此前已形成“角色本体先建立核心循环，构筑与资源负责扩展”的动作 PVP 与 IP 角色设计方法论。</w:t>
      </w:r>
    </w:p>
    <w:p>
      <w:pPr>
        <w:pStyle w:val="Heading1"/>
      </w:pPr>
      <w:r>
        <w:rPr>
          <w:rFonts w:ascii="微软雅黑" w:hAnsi="微软雅黑" w:eastAsia="微软雅黑" w:cs="微软雅黑"/>
          <w:b/>
          <w:color w:val="173F5F"/>
          <w:sz w:val="32"/>
        </w:rPr>
        <w:t>二、事实论据截图摘取</w:t>
      </w:r>
    </w:p>
    <w:p>
      <w:pPr>
        <w:pStyle w:val="Heading2"/>
      </w:pPr>
      <w:r>
        <w:rPr>
          <w:rFonts w:ascii="微软雅黑" w:hAnsi="微软雅黑" w:eastAsia="微软雅黑" w:cs="微软雅黑"/>
          <w:b/>
          <w:color w:val="1F4E79"/>
          <w:sz w:val="26"/>
        </w:rPr>
        <w:t>证据 1｜火影式 IP 动作 PVP 作为主蓝本的研究基础</w:t>
      </w:r>
    </w:p>
    <w:p>
      <w:pPr>
        <w:spacing w:line="276" w:lineRule="auto"/>
        <w:ind w:firstLine="420"/>
      </w:pPr>
      <w:r>
        <w:rPr>
          <w:rFonts w:ascii="微软雅黑" w:hAnsi="微软雅黑" w:eastAsia="微软雅黑" w:cs="微软雅黑"/>
          <w:sz w:val="20"/>
        </w:rPr>
        <w:t>该页来自此前动作策划报告第一章开头，说明《火影忍者手游》已经从原作还原发展为可主动扩写角色、生产新设定并形成自身内容传统的长线游戏生态。这直接支撑本课题中“IP 改编动作 PVP 手游不是单纯格斗游戏，而是 IP、PVP、运营、社区共同作用的产品”的判断。</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5811901"/>
            <wp:docPr id="1" name="Picture 1"/>
            <wp:cNvGraphicFramePr>
              <a:graphicFrameLocks noChangeAspect="1"/>
            </wp:cNvGraphicFramePr>
            <a:graphic>
              <a:graphicData uri="http://schemas.openxmlformats.org/drawingml/2006/picture">
                <pic:pic>
                  <pic:nvPicPr>
                    <pic:cNvPr id="0" name="evidence_01_huoying_basis.png"/>
                    <pic:cNvPicPr/>
                  </pic:nvPicPr>
                  <pic:blipFill>
                    <a:blip r:embed="rId11"/>
                    <a:stretch>
                      <a:fillRect/>
                    </a:stretch>
                  </pic:blipFill>
                  <pic:spPr>
                    <a:xfrm>
                      <a:off x="0" y="0"/>
                      <a:ext cx="4500000" cy="5811901"/>
                    </a:xfrm>
                    <a:prstGeom prst="rect"/>
                  </pic:spPr>
                </pic:pic>
              </a:graphicData>
            </a:graphic>
          </wp:inline>
        </w:drawing>
      </w:r>
    </w:p>
    <w:p>
      <w:pPr>
        <w:jc w:val="center"/>
      </w:pPr>
      <w:r>
        <w:rPr>
          <w:rFonts w:ascii="微软雅黑" w:hAnsi="微软雅黑" w:eastAsia="微软雅黑" w:cs="微软雅黑"/>
          <w:color w:val="5A5A5A"/>
          <w:sz w:val="18"/>
        </w:rPr>
        <w:t>证据 1｜火影式 IP 动作 PVP 作为主蓝本的研究基础｜来源：《动作游戏博弈体系搭建及 IP 角色设计》阶段性报告截图摘取</w:t>
      </w:r>
    </w:p>
    <w:p>
      <w:pPr>
        <w:pStyle w:val="Heading2"/>
      </w:pPr>
      <w:r>
        <w:rPr>
          <w:rFonts w:ascii="微软雅黑" w:hAnsi="微软雅黑" w:eastAsia="微软雅黑" w:cs="微软雅黑"/>
          <w:b/>
          <w:color w:val="1F4E79"/>
          <w:sz w:val="26"/>
        </w:rPr>
        <w:t>证据 2｜长期玩家经验与核心 PVP 数据基础</w:t>
      </w:r>
    </w:p>
    <w:p>
      <w:pPr>
        <w:spacing w:line="276" w:lineRule="auto"/>
        <w:ind w:firstLine="420"/>
      </w:pPr>
      <w:r>
        <w:rPr>
          <w:rFonts w:ascii="微软雅黑" w:hAnsi="微软雅黑" w:eastAsia="微软雅黑" w:cs="微软雅黑"/>
          <w:sz w:val="20"/>
        </w:rPr>
        <w:t>该页展示了个人决斗场体验基础：2019 年进入游戏，累计游戏时间超过 2000 小时，达到超影段位，并长期集中使用水门、白面具、百豪纲手等角色。这可作为选题可信度与“核心玩家视角”来源的事实论据。</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5811901"/>
            <wp:docPr id="2" name="Picture 2"/>
            <wp:cNvGraphicFramePr>
              <a:graphicFrameLocks noChangeAspect="1"/>
            </wp:cNvGraphicFramePr>
            <a:graphic>
              <a:graphicData uri="http://schemas.openxmlformats.org/drawingml/2006/picture">
                <pic:pic>
                  <pic:nvPicPr>
                    <pic:cNvPr id="0" name="evidence_02_huoying_records.png"/>
                    <pic:cNvPicPr/>
                  </pic:nvPicPr>
                  <pic:blipFill>
                    <a:blip r:embed="rId12"/>
                    <a:stretch>
                      <a:fillRect/>
                    </a:stretch>
                  </pic:blipFill>
                  <pic:spPr>
                    <a:xfrm>
                      <a:off x="0" y="0"/>
                      <a:ext cx="4500000" cy="5811901"/>
                    </a:xfrm>
                    <a:prstGeom prst="rect"/>
                  </pic:spPr>
                </pic:pic>
              </a:graphicData>
            </a:graphic>
          </wp:inline>
        </w:drawing>
      </w:r>
    </w:p>
    <w:p>
      <w:pPr>
        <w:jc w:val="center"/>
      </w:pPr>
      <w:r>
        <w:rPr>
          <w:rFonts w:ascii="微软雅黑" w:hAnsi="微软雅黑" w:eastAsia="微软雅黑" w:cs="微软雅黑"/>
          <w:color w:val="5A5A5A"/>
          <w:sz w:val="18"/>
        </w:rPr>
        <w:t>证据 2｜长期玩家经验与核心 PVP 数据基础｜来源：《动作游戏博弈体系搭建及 IP 角色设计》阶段性报告截图摘取</w:t>
      </w:r>
    </w:p>
    <w:p>
      <w:pPr>
        <w:pStyle w:val="Heading2"/>
      </w:pPr>
      <w:r>
        <w:rPr>
          <w:rFonts w:ascii="微软雅黑" w:hAnsi="微软雅黑" w:eastAsia="微软雅黑" w:cs="微软雅黑"/>
          <w:b/>
          <w:color w:val="1F4E79"/>
          <w:sz w:val="26"/>
        </w:rPr>
        <w:t>证据 3｜线下玩家赛事与社区观察经验</w:t>
      </w:r>
    </w:p>
    <w:p>
      <w:pPr>
        <w:spacing w:line="276" w:lineRule="auto"/>
        <w:ind w:firstLine="420"/>
      </w:pPr>
      <w:r>
        <w:rPr>
          <w:rFonts w:ascii="微软雅黑" w:hAnsi="微软雅黑" w:eastAsia="微软雅黑" w:cs="微软雅黑"/>
          <w:sz w:val="20"/>
        </w:rPr>
        <w:t>该页记录了 2026 年 5 月世界线漫展火影线下水友赛经历。线下赛事与玩家交流补充了对玩家社群、竞技环境和社区反馈的理解，可支撑本课题中关于“社区舆情层”和“核心玩家认可/新手劝退”的分析。</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5811901"/>
            <wp:docPr id="3" name="Picture 3"/>
            <wp:cNvGraphicFramePr>
              <a:graphicFrameLocks noChangeAspect="1"/>
            </wp:cNvGraphicFramePr>
            <a:graphic>
              <a:graphicData uri="http://schemas.openxmlformats.org/drawingml/2006/picture">
                <pic:pic>
                  <pic:nvPicPr>
                    <pic:cNvPr id="0" name="evidence_03_offline_event.png"/>
                    <pic:cNvPicPr/>
                  </pic:nvPicPr>
                  <pic:blipFill>
                    <a:blip r:embed="rId13"/>
                    <a:stretch>
                      <a:fillRect/>
                    </a:stretch>
                  </pic:blipFill>
                  <pic:spPr>
                    <a:xfrm>
                      <a:off x="0" y="0"/>
                      <a:ext cx="4500000" cy="5811901"/>
                    </a:xfrm>
                    <a:prstGeom prst="rect"/>
                  </pic:spPr>
                </pic:pic>
              </a:graphicData>
            </a:graphic>
          </wp:inline>
        </w:drawing>
      </w:r>
    </w:p>
    <w:p>
      <w:pPr>
        <w:jc w:val="center"/>
      </w:pPr>
      <w:r>
        <w:rPr>
          <w:rFonts w:ascii="微软雅黑" w:hAnsi="微软雅黑" w:eastAsia="微软雅黑" w:cs="微软雅黑"/>
          <w:color w:val="5A5A5A"/>
          <w:sz w:val="18"/>
        </w:rPr>
        <w:t>证据 3｜线下玩家赛事与社区观察经验｜来源：《动作游戏博弈体系搭建及 IP 角色设计》阶段性报告截图摘取</w:t>
      </w:r>
    </w:p>
    <w:p>
      <w:pPr>
        <w:pStyle w:val="Heading2"/>
      </w:pPr>
      <w:r>
        <w:rPr>
          <w:rFonts w:ascii="微软雅黑" w:hAnsi="微软雅黑" w:eastAsia="微软雅黑" w:cs="微软雅黑"/>
          <w:b/>
          <w:color w:val="1F4E79"/>
          <w:sz w:val="26"/>
        </w:rPr>
        <w:t>证据 4｜动作游戏广度：不只理解单一产品</w:t>
      </w:r>
    </w:p>
    <w:p>
      <w:pPr>
        <w:spacing w:line="276" w:lineRule="auto"/>
        <w:ind w:firstLine="420"/>
      </w:pPr>
      <w:r>
        <w:rPr>
          <w:rFonts w:ascii="微软雅黑" w:hAnsi="微软雅黑" w:eastAsia="微软雅黑" w:cs="微软雅黑"/>
          <w:sz w:val="20"/>
        </w:rPr>
        <w:t>该页摘自第二章“多元动作游戏中的战斗设计思想”，列出只狼、魂系/艾尔登法环、怪物猎人、空洞骑士等长期体验与分析基础。它说明本课题中的广度不是多蓝本分散作答，而是作为 PM 判断核心循环、新手门槛和长期学习目标的参照。</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5811901"/>
            <wp:docPr id="4" name="Picture 4"/>
            <wp:cNvGraphicFramePr>
              <a:graphicFrameLocks noChangeAspect="1"/>
            </wp:cNvGraphicFramePr>
            <a:graphic>
              <a:graphicData uri="http://schemas.openxmlformats.org/drawingml/2006/picture">
                <pic:pic>
                  <pic:nvPicPr>
                    <pic:cNvPr id="0" name="evidence_04_action_breadth.png"/>
                    <pic:cNvPicPr/>
                  </pic:nvPicPr>
                  <pic:blipFill>
                    <a:blip r:embed="rId14"/>
                    <a:stretch>
                      <a:fillRect/>
                    </a:stretch>
                  </pic:blipFill>
                  <pic:spPr>
                    <a:xfrm>
                      <a:off x="0" y="0"/>
                      <a:ext cx="4500000" cy="5811901"/>
                    </a:xfrm>
                    <a:prstGeom prst="rect"/>
                  </pic:spPr>
                </pic:pic>
              </a:graphicData>
            </a:graphic>
          </wp:inline>
        </w:drawing>
      </w:r>
    </w:p>
    <w:p>
      <w:pPr>
        <w:jc w:val="center"/>
      </w:pPr>
      <w:r>
        <w:rPr>
          <w:rFonts w:ascii="微软雅黑" w:hAnsi="微软雅黑" w:eastAsia="微软雅黑" w:cs="微软雅黑"/>
          <w:color w:val="5A5A5A"/>
          <w:sz w:val="18"/>
        </w:rPr>
        <w:t>证据 4｜动作游戏广度：不只理解单一产品｜来源：《动作游戏博弈体系搭建及 IP 角色设计》阶段性报告截图摘取</w:t>
      </w:r>
    </w:p>
    <w:p>
      <w:pPr>
        <w:pStyle w:val="Heading2"/>
      </w:pPr>
      <w:r>
        <w:rPr>
          <w:rFonts w:ascii="微软雅黑" w:hAnsi="微软雅黑" w:eastAsia="微软雅黑" w:cs="微软雅黑"/>
          <w:b/>
          <w:color w:val="1F4E79"/>
          <w:sz w:val="26"/>
        </w:rPr>
        <w:t>证据 5｜个人动作 PVP 方法论：从体验转为设计原则</w:t>
      </w:r>
    </w:p>
    <w:p>
      <w:pPr>
        <w:spacing w:line="276" w:lineRule="auto"/>
        <w:ind w:firstLine="420"/>
      </w:pPr>
      <w:r>
        <w:rPr>
          <w:rFonts w:ascii="微软雅黑" w:hAnsi="微软雅黑" w:eastAsia="微软雅黑" w:cs="微软雅黑"/>
          <w:sz w:val="20"/>
        </w:rPr>
        <w:t>该页摘取了“个人动作 PVP 设计原则与第四章落地映射”表格，体现“先决定玩家如何思考，再决定角色如何行动；先建立行动之间的关系，再增加行动本身”的设计立场。它支撑本课题中对版本风险、核心体验、需求取舍和新手门槛的判断。</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4428115"/>
            <wp:docPr id="5" name="Picture 5"/>
            <wp:cNvGraphicFramePr>
              <a:graphicFrameLocks noChangeAspect="1"/>
            </wp:cNvGraphicFramePr>
            <a:graphic>
              <a:graphicData uri="http://schemas.openxmlformats.org/drawingml/2006/picture">
                <pic:pic>
                  <pic:nvPicPr>
                    <pic:cNvPr id="0" name="evidence_05_design_principles_table.png"/>
                    <pic:cNvPicPr/>
                  </pic:nvPicPr>
                  <pic:blipFill>
                    <a:blip r:embed="rId15"/>
                    <a:stretch>
                      <a:fillRect/>
                    </a:stretch>
                  </pic:blipFill>
                  <pic:spPr>
                    <a:xfrm>
                      <a:off x="0" y="0"/>
                      <a:ext cx="4500000" cy="4428115"/>
                    </a:xfrm>
                    <a:prstGeom prst="rect"/>
                  </pic:spPr>
                </pic:pic>
              </a:graphicData>
            </a:graphic>
          </wp:inline>
        </w:drawing>
      </w:r>
    </w:p>
    <w:p>
      <w:pPr>
        <w:jc w:val="center"/>
      </w:pPr>
      <w:r>
        <w:rPr>
          <w:rFonts w:ascii="微软雅黑" w:hAnsi="微软雅黑" w:eastAsia="微软雅黑" w:cs="微软雅黑"/>
          <w:color w:val="5A5A5A"/>
          <w:sz w:val="18"/>
        </w:rPr>
        <w:t>证据 5｜个人动作 PVP 方法论：从体验转为设计原则｜来源：《动作游戏博弈体系搭建及 IP 角色设计》阶段性报告截图摘取</w:t>
      </w:r>
    </w:p>
    <w:p>
      <w:pPr>
        <w:pStyle w:val="Heading2"/>
      </w:pPr>
      <w:r>
        <w:rPr>
          <w:rFonts w:ascii="微软雅黑" w:hAnsi="微软雅黑" w:eastAsia="微软雅黑" w:cs="微软雅黑"/>
          <w:b/>
          <w:color w:val="1F4E79"/>
          <w:sz w:val="26"/>
        </w:rPr>
        <w:t>证据 6｜个人 Gameplay 实践：Emotion Mask 状态驱动玩法</w:t>
      </w:r>
    </w:p>
    <w:p>
      <w:pPr>
        <w:spacing w:line="276" w:lineRule="auto"/>
        <w:ind w:firstLine="420"/>
      </w:pPr>
      <w:r>
        <w:rPr>
          <w:rFonts w:ascii="微软雅黑" w:hAnsi="微软雅黑" w:eastAsia="微软雅黑" w:cs="微软雅黑"/>
          <w:sz w:val="20"/>
        </w:rPr>
        <w:t>该页来自附录 A，记录 Emotion Mask 48 小时独立开发和状态驱动玩法设计。它可支撑本课题中关于小团队快速原型、状态机制、版本范围控制与交付压力的实践背景。</w:t>
      </w:r>
    </w:p>
    <w:p>
      <w:pPr>
        <w:jc w:val="center"/>
      </w:pPr>
      <w:r>
        <w:rPr>
          <w:rFonts w:ascii="微软雅黑" w:hAnsi="微软雅黑" w:eastAsia="微软雅黑" w:cs="微软雅黑"/>
        </w:rPr>
        <w:drawing>
          <wp:inline xmlns:a="http://schemas.openxmlformats.org/drawingml/2006/main" xmlns:pic="http://schemas.openxmlformats.org/drawingml/2006/picture">
            <wp:extent cx="4500000" cy="5811901"/>
            <wp:docPr id="6" name="Picture 6"/>
            <wp:cNvGraphicFramePr>
              <a:graphicFrameLocks noChangeAspect="1"/>
            </wp:cNvGraphicFramePr>
            <a:graphic>
              <a:graphicData uri="http://schemas.openxmlformats.org/drawingml/2006/picture">
                <pic:pic>
                  <pic:nvPicPr>
                    <pic:cNvPr id="0" name="evidence_06_emotion_mask_practice.png"/>
                    <pic:cNvPicPr/>
                  </pic:nvPicPr>
                  <pic:blipFill>
                    <a:blip r:embed="rId16"/>
                    <a:stretch>
                      <a:fillRect/>
                    </a:stretch>
                  </pic:blipFill>
                  <pic:spPr>
                    <a:xfrm>
                      <a:off x="0" y="0"/>
                      <a:ext cx="4500000" cy="5811901"/>
                    </a:xfrm>
                    <a:prstGeom prst="rect"/>
                  </pic:spPr>
                </pic:pic>
              </a:graphicData>
            </a:graphic>
          </wp:inline>
        </w:drawing>
      </w:r>
    </w:p>
    <w:p>
      <w:pPr>
        <w:jc w:val="center"/>
      </w:pPr>
      <w:r>
        <w:rPr>
          <w:rFonts w:ascii="微软雅黑" w:hAnsi="微软雅黑" w:eastAsia="微软雅黑" w:cs="微软雅黑"/>
          <w:color w:val="5A5A5A"/>
          <w:sz w:val="18"/>
        </w:rPr>
        <w:t>证据 6｜个人 Gameplay 实践：Emotion Mask 状态驱动玩法｜来源：《动作游戏博弈体系搭建及 IP 角色设计》阶段性报告截图摘取</w:t>
      </w:r>
    </w:p>
    <w:p>
      <w:pPr>
        <w:pStyle w:val="Heading1"/>
      </w:pPr>
      <w:r>
        <w:rPr>
          <w:rFonts w:ascii="微软雅黑" w:hAnsi="微软雅黑" w:eastAsia="微软雅黑" w:cs="微软雅黑"/>
          <w:b/>
          <w:color w:val="173F5F"/>
          <w:sz w:val="32"/>
        </w:rPr>
        <w:t>三、可放入 PPT 的个人背景摘要</w:t>
      </w:r>
    </w:p>
    <w:p>
      <w:pPr>
        <w:spacing w:line="276" w:lineRule="auto"/>
        <w:ind w:firstLine="420"/>
      </w:pPr>
      <w:r>
        <w:rPr>
          <w:rFonts w:ascii="微软雅黑" w:hAnsi="微软雅黑" w:eastAsia="微软雅黑" w:cs="微软雅黑"/>
          <w:sz w:val="21"/>
        </w:rPr>
        <w:t>我选择 IP 动作 PVP 手游作为主蓝本，并不是为了写一份单纯的火影机制分析，而是因为该品类同时承载 IP 情感、动作 PVP、长线运营、社区舆情和跨职能协作冲突。我的个人基础来自长期火影决斗场体验、对只狼/魂系/怪物猎人/空洞骑士等动作游戏的长期拆解，以及 Emotion Mask、亚舍拉挽歌、UE5 Demo、H5 问卷统筹和光子 AI 工具课题统筹等项目实践。</w:t>
      </w:r>
    </w:p>
    <w:p>
      <w:pPr>
        <w:spacing w:line="276" w:lineRule="auto"/>
        <w:ind w:firstLine="420"/>
      </w:pPr>
      <w:r>
        <w:rPr>
          <w:rFonts w:ascii="微软雅黑" w:hAnsi="微软雅黑" w:eastAsia="微软雅黑" w:cs="微软雅黑"/>
          <w:sz w:val="21"/>
        </w:rPr>
        <w:t>这些经历让我在本课题中更关注：玩家为什么进入并留下，新版本是否真正强化核心循环，系统复杂度是否会压垮新手，角色机制、测试范围和运营承诺之间是否匹配，以及 AI 如何帮助 PM 更快建立项目认知、识别风险并推进跨部门对齐。</w:t>
      </w:r>
    </w:p>
    <w:p>
      <w:pPr>
        <w:pStyle w:val="Heading1"/>
      </w:pPr>
      <w:r>
        <w:rPr>
          <w:rFonts w:ascii="微软雅黑" w:hAnsi="微软雅黑" w:eastAsia="微软雅黑" w:cs="微软雅黑"/>
          <w:b/>
          <w:color w:val="173F5F"/>
          <w:sz w:val="32"/>
        </w:rPr>
        <w:t>四、在正式 PPT 中的使用建议</w:t>
      </w:r>
    </w:p>
    <w:p>
      <w:pPr>
        <w:pStyle w:val="ListBullet"/>
      </w:pPr>
      <w:r>
        <w:rPr>
          <w:rFonts w:ascii="微软雅黑" w:hAnsi="微软雅黑" w:eastAsia="微软雅黑" w:cs="微软雅黑"/>
          <w:sz w:val="20"/>
        </w:rPr>
        <w:t>第 3 页“选题依据”可放证据 1 或证据 2 的缩略图，证明对火影式 IP 动作 PVP 产品具有长期研究基础。</w:t>
      </w:r>
    </w:p>
    <w:p>
      <w:pPr>
        <w:pStyle w:val="ListBullet"/>
      </w:pPr>
      <w:r>
        <w:rPr>
          <w:rFonts w:ascii="微软雅黑" w:hAnsi="微软雅黑" w:eastAsia="微软雅黑" w:cs="微软雅黑"/>
          <w:sz w:val="20"/>
        </w:rPr>
        <w:t>第 4 页“广度支撑”可放证据 4 的缩略图，证明动作游戏广度来自真实长期体验，不是临时补充。</w:t>
      </w:r>
    </w:p>
    <w:p>
      <w:pPr>
        <w:pStyle w:val="ListBullet"/>
      </w:pPr>
      <w:r>
        <w:rPr>
          <w:rFonts w:ascii="微软雅黑" w:hAnsi="微软雅黑" w:eastAsia="微软雅黑" w:cs="微软雅黑"/>
          <w:sz w:val="20"/>
        </w:rPr>
        <w:t>第 14 页或附录页“AI 与 PM 分工”后可放证据 5，强调本人已有动作 PVP 方法论，AI 主要用于结构整理而不是替代判断。</w:t>
      </w:r>
    </w:p>
    <w:p>
      <w:pPr>
        <w:pStyle w:val="ListBullet"/>
      </w:pPr>
      <w:r>
        <w:rPr>
          <w:rFonts w:ascii="微软雅黑" w:hAnsi="微软雅黑" w:eastAsia="微软雅黑" w:cs="微软雅黑"/>
          <w:sz w:val="20"/>
        </w:rPr>
        <w:t>附录页“个人 Gameplay 实践”可放证据 6，连接 Emotion Mask 48h 独立开发与小团队项目管理经验。</w:t>
      </w:r>
    </w:p>
    <w:p>
      <w:pPr>
        <w:pStyle w:val="ListBullet"/>
      </w:pPr>
      <w:r>
        <w:rPr>
          <w:rFonts w:ascii="微软雅黑" w:hAnsi="微软雅黑" w:eastAsia="微软雅黑" w:cs="微软雅黑"/>
          <w:sz w:val="20"/>
        </w:rPr>
        <w:t>截图不宜占据主 PPT 大量篇幅，建议作为小图或附录证据使用；主线仍应回到项目管理方案本身。</w:t>
      </w:r>
    </w:p>
    <w:sectPr w:rsidR="00FC693F" w:rsidRPr="0006063C" w:rsidSect="00034616">
      <w:headerReference w:type="default" r:id="rId9"/>
      <w:footerReference w:type="default" r:id="rId10"/>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微软雅黑" w:hAnsi="微软雅黑" w:eastAsia="微软雅黑" w:cs="微软雅黑"/>
        <w:color w:val="5A5A5A"/>
        <w:sz w:val="16"/>
      </w:rPr>
      <w:t>左涵俊｜光核课题三《AI 赋能游戏项目管理》</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微软雅黑" w:hAnsi="微软雅黑" w:eastAsia="微软雅黑" w:cs="微软雅黑"/>
        <w:color w:val="5A5A5A"/>
        <w:sz w:val="16"/>
      </w:rPr>
      <w:t>光核课题三｜个人背景材料与事实论据｜左涵俊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微软雅黑" w:hAnsi="微软雅黑" w:eastAsia="微软雅黑" w:cs="微软雅黑"/>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微软雅黑" w:hAnsi="微软雅黑" w:eastAsia="微软雅黑" w:cs="微软雅黑"/>
    </w:rPr>
  </w:style>
  <w:style w:type="character" w:customStyle="1" w:styleId="HeaderChar">
    <w:name w:val="Header Char"/>
    <w:basedOn w:val="DefaultParagraphFont"/>
    <w:link w:val="Header"/>
    <w:uiPriority w:val="99"/>
    <w:rsid w:val="00E618BF"/>
    <w:rPr>
      <w:rFonts w:ascii="微软雅黑" w:hAnsi="微软雅黑" w:eastAsia="微软雅黑" w:cs="微软雅黑"/>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微软雅黑" w:hAnsi="微软雅黑" w:eastAsia="微软雅黑" w:cs="微软雅黑"/>
    </w:rPr>
  </w:style>
  <w:style w:type="character" w:customStyle="1" w:styleId="FooterChar">
    <w:name w:val="Footer Char"/>
    <w:basedOn w:val="DefaultParagraphFont"/>
    <w:link w:val="Footer"/>
    <w:uiPriority w:val="99"/>
    <w:rsid w:val="00E618BF"/>
    <w:rPr>
      <w:rFonts w:ascii="微软雅黑" w:hAnsi="微软雅黑" w:eastAsia="微软雅黑" w:cs="微软雅黑"/>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微软雅黑" w:hAnsi="微软雅黑" w:eastAsia="微软雅黑" w:cs="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微软雅黑" w:hAnsi="微软雅黑" w:eastAsia="微软雅黑" w:cs="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微软雅黑" w:hAnsi="微软雅黑" w:eastAsia="微软雅黑" w:cs="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微软雅黑" w:hAnsi="微软雅黑" w:eastAsia="微软雅黑" w:cs="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微软雅黑" w:hAnsi="微软雅黑" w:eastAsia="微软雅黑" w:cs="微软雅黑"/>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微软雅黑" w:hAnsi="微软雅黑" w:eastAsia="微软雅黑" w:cs="微软雅黑"/>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微软雅黑" w:hAnsi="微软雅黑" w:eastAsia="微软雅黑" w:cs="微软雅黑"/>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微软雅黑" w:hAnsi="微软雅黑" w:eastAsia="微软雅黑" w:cs="微软雅黑"/>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微软雅黑" w:hAnsi="微软雅黑" w:eastAsia="微软雅黑" w:cs="微软雅黑"/>
      <w:i/>
      <w:iCs/>
      <w:color w:val="404040" w:themeColor="text1" w:themeTint="BF"/>
      <w:sz w:val="20"/>
      <w:szCs w:val="20"/>
    </w:rPr>
  </w:style>
  <w:style w:type="character" w:default="1" w:styleId="DefaultParagraphFont">
    <w:name w:val="Default Paragraph Font"/>
    <w:uiPriority w:val="1"/>
    <w:semiHidden/>
    <w:unhideWhenUsed/>
    <w:rPr>
      <w:rFonts w:ascii="微软雅黑" w:hAnsi="微软雅黑" w:eastAsia="微软雅黑" w:cs="微软雅黑"/>
    </w:rPr>
  </w:style>
  <w:style w:type="table" w:default="1" w:styleId="TableNormal">
    <w:name w:val="Normal Table"/>
    <w:uiPriority w:val="99"/>
    <w:semiHidden/>
    <w:unhideWhenUsed/>
    <w:rPr>
      <w:rFonts w:ascii="微软雅黑" w:hAnsi="微软雅黑" w:eastAsia="微软雅黑" w:cs="微软雅黑"/>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微软雅黑" w:hAnsi="微软雅黑" w:eastAsia="微软雅黑" w:cs="微软雅黑"/>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微软雅黑" w:hAnsi="微软雅黑" w:eastAsia="微软雅黑" w:cs="微软雅黑"/>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微软雅黑" w:hAnsi="微软雅黑" w:eastAsia="微软雅黑" w:cs="微软雅黑"/>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微软雅黑" w:hAnsi="微软雅黑" w:eastAsia="微软雅黑" w:cs="微软雅黑"/>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微软雅黑" w:hAnsi="微软雅黑" w:eastAsia="微软雅黑" w:cs="微软雅黑"/>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微软雅黑" w:hAnsi="微软雅黑" w:eastAsia="微软雅黑" w:cs="微软雅黑"/>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微软雅黑" w:hAnsi="微软雅黑" w:eastAsia="微软雅黑" w:cs="微软雅黑"/>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微软雅黑" w:hAnsi="微软雅黑" w:eastAsia="微软雅黑" w:cs="微软雅黑"/>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微软雅黑" w:hAnsi="微软雅黑" w:eastAsia="微软雅黑" w:cs="微软雅黑"/>
    </w:rPr>
  </w:style>
  <w:style w:type="paragraph" w:styleId="BodyText">
    <w:name w:val="Body Text"/>
    <w:basedOn w:val="Normal"/>
    <w:link w:val="BodyTextChar"/>
    <w:uiPriority w:val="99"/>
    <w:unhideWhenUsed/>
    <w:rsid w:val="00AA1D8D"/>
    <w:pPr>
      <w:spacing w:after="120"/>
    </w:pPr>
    <w:rPr>
      <w:rFonts w:ascii="微软雅黑" w:hAnsi="微软雅黑" w:eastAsia="微软雅黑" w:cs="微软雅黑"/>
    </w:rPr>
  </w:style>
  <w:style w:type="character" w:customStyle="1" w:styleId="BodyTextChar">
    <w:name w:val="Body Text Char"/>
    <w:basedOn w:val="DefaultParagraphFont"/>
    <w:link w:val="BodyText"/>
    <w:uiPriority w:val="99"/>
    <w:rsid w:val="00AA1D8D"/>
    <w:rPr>
      <w:rFonts w:ascii="微软雅黑" w:hAnsi="微软雅黑" w:eastAsia="微软雅黑" w:cs="微软雅黑"/>
    </w:rPr>
  </w:style>
  <w:style w:type="paragraph" w:styleId="BodyText2">
    <w:name w:val="Body Text 2"/>
    <w:basedOn w:val="Normal"/>
    <w:link w:val="BodyText2Char"/>
    <w:uiPriority w:val="99"/>
    <w:unhideWhenUsed/>
    <w:rsid w:val="00AA1D8D"/>
    <w:pPr>
      <w:spacing w:after="120" w:line="480" w:lineRule="auto"/>
    </w:pPr>
    <w:rPr>
      <w:rFonts w:ascii="微软雅黑" w:hAnsi="微软雅黑" w:eastAsia="微软雅黑" w:cs="微软雅黑"/>
    </w:rPr>
  </w:style>
  <w:style w:type="character" w:customStyle="1" w:styleId="BodyText2Char">
    <w:name w:val="Body Text 2 Char"/>
    <w:basedOn w:val="DefaultParagraphFont"/>
    <w:link w:val="BodyText2"/>
    <w:uiPriority w:val="99"/>
    <w:rsid w:val="00AA1D8D"/>
    <w:rPr>
      <w:rFonts w:ascii="微软雅黑" w:hAnsi="微软雅黑" w:eastAsia="微软雅黑" w:cs="微软雅黑"/>
    </w:rPr>
  </w:style>
  <w:style w:type="paragraph" w:styleId="BodyText3">
    <w:name w:val="Body Text 3"/>
    <w:basedOn w:val="Normal"/>
    <w:link w:val="BodyText3Char"/>
    <w:uiPriority w:val="99"/>
    <w:unhideWhenUsed/>
    <w:rsid w:val="00AA1D8D"/>
    <w:pPr>
      <w:spacing w:after="120"/>
    </w:pPr>
    <w:rPr>
      <w:rFonts w:ascii="微软雅黑" w:hAnsi="微软雅黑" w:eastAsia="微软雅黑" w:cs="微软雅黑"/>
      <w:sz w:val="16"/>
      <w:szCs w:val="16"/>
    </w:rPr>
  </w:style>
  <w:style w:type="character" w:customStyle="1" w:styleId="BodyText3Char">
    <w:name w:val="Body Text 3 Char"/>
    <w:basedOn w:val="DefaultParagraphFont"/>
    <w:link w:val="BodyText3"/>
    <w:uiPriority w:val="99"/>
    <w:rsid w:val="00AA1D8D"/>
    <w:rPr>
      <w:rFonts w:ascii="微软雅黑" w:hAnsi="微软雅黑" w:eastAsia="微软雅黑" w:cs="微软雅黑"/>
      <w:sz w:val="16"/>
      <w:szCs w:val="16"/>
    </w:rPr>
  </w:style>
  <w:style w:type="paragraph" w:styleId="List">
    <w:name w:val="List"/>
    <w:basedOn w:val="Normal"/>
    <w:uiPriority w:val="99"/>
    <w:unhideWhenUsed/>
    <w:rsid w:val="00AA1D8D"/>
    <w:pPr>
      <w:ind w:left="360" w:hanging="360"/>
      <w:contextualSpacing/>
    </w:pPr>
    <w:rPr>
      <w:rFonts w:ascii="微软雅黑" w:hAnsi="微软雅黑" w:eastAsia="微软雅黑" w:cs="微软雅黑"/>
    </w:rPr>
  </w:style>
  <w:style w:type="paragraph" w:styleId="List2">
    <w:name w:val="List 2"/>
    <w:basedOn w:val="Normal"/>
    <w:uiPriority w:val="99"/>
    <w:unhideWhenUsed/>
    <w:rsid w:val="00326F90"/>
    <w:pPr>
      <w:ind w:left="720" w:hanging="360"/>
      <w:contextualSpacing/>
    </w:pPr>
    <w:rPr>
      <w:rFonts w:ascii="微软雅黑" w:hAnsi="微软雅黑" w:eastAsia="微软雅黑" w:cs="微软雅黑"/>
    </w:rPr>
  </w:style>
  <w:style w:type="paragraph" w:styleId="List3">
    <w:name w:val="List 3"/>
    <w:basedOn w:val="Normal"/>
    <w:uiPriority w:val="99"/>
    <w:unhideWhenUsed/>
    <w:rsid w:val="00326F90"/>
    <w:pPr>
      <w:ind w:left="1080" w:hanging="360"/>
      <w:contextualSpacing/>
    </w:pPr>
    <w:rPr>
      <w:rFonts w:ascii="微软雅黑" w:hAnsi="微软雅黑" w:eastAsia="微软雅黑" w:cs="微软雅黑"/>
    </w:rPr>
  </w:style>
  <w:style w:type="paragraph" w:styleId="ListBullet">
    <w:name w:val="List Bullet"/>
    <w:basedOn w:val="Normal"/>
    <w:uiPriority w:val="99"/>
    <w:unhideWhenUsed/>
    <w:rsid w:val="00326F90"/>
    <w:pPr>
      <w:numPr>
        <w:numId w:val="1"/>
      </w:numPr>
      <w:contextualSpacing/>
    </w:pPr>
    <w:rPr>
      <w:rFonts w:ascii="微软雅黑" w:hAnsi="微软雅黑" w:eastAsia="微软雅黑" w:cs="微软雅黑"/>
    </w:rPr>
  </w:style>
  <w:style w:type="paragraph" w:styleId="ListBullet2">
    <w:name w:val="List Bullet 2"/>
    <w:basedOn w:val="Normal"/>
    <w:uiPriority w:val="99"/>
    <w:unhideWhenUsed/>
    <w:rsid w:val="00326F90"/>
    <w:pPr>
      <w:numPr>
        <w:numId w:val="2"/>
      </w:numPr>
      <w:contextualSpacing/>
    </w:pPr>
    <w:rPr>
      <w:rFonts w:ascii="微软雅黑" w:hAnsi="微软雅黑" w:eastAsia="微软雅黑" w:cs="微软雅黑"/>
    </w:rPr>
  </w:style>
  <w:style w:type="paragraph" w:styleId="ListBullet3">
    <w:name w:val="List Bullet 3"/>
    <w:basedOn w:val="Normal"/>
    <w:uiPriority w:val="99"/>
    <w:unhideWhenUsed/>
    <w:rsid w:val="00326F90"/>
    <w:pPr>
      <w:numPr>
        <w:numId w:val="3"/>
      </w:numPr>
      <w:contextualSpacing/>
    </w:pPr>
    <w:rPr>
      <w:rFonts w:ascii="微软雅黑" w:hAnsi="微软雅黑" w:eastAsia="微软雅黑" w:cs="微软雅黑"/>
    </w:rPr>
  </w:style>
  <w:style w:type="paragraph" w:styleId="ListNumber">
    <w:name w:val="List Number"/>
    <w:basedOn w:val="Normal"/>
    <w:uiPriority w:val="99"/>
    <w:unhideWhenUsed/>
    <w:rsid w:val="00326F90"/>
    <w:pPr>
      <w:numPr>
        <w:numId w:val="5"/>
      </w:numPr>
      <w:contextualSpacing/>
    </w:pPr>
    <w:rPr>
      <w:rFonts w:ascii="微软雅黑" w:hAnsi="微软雅黑" w:eastAsia="微软雅黑" w:cs="微软雅黑"/>
    </w:rPr>
  </w:style>
  <w:style w:type="paragraph" w:styleId="ListNumber2">
    <w:name w:val="List Number 2"/>
    <w:basedOn w:val="Normal"/>
    <w:uiPriority w:val="99"/>
    <w:unhideWhenUsed/>
    <w:rsid w:val="0029639D"/>
    <w:pPr>
      <w:numPr>
        <w:numId w:val="6"/>
      </w:numPr>
      <w:contextualSpacing/>
    </w:pPr>
    <w:rPr>
      <w:rFonts w:ascii="微软雅黑" w:hAnsi="微软雅黑" w:eastAsia="微软雅黑" w:cs="微软雅黑"/>
    </w:rPr>
  </w:style>
  <w:style w:type="paragraph" w:styleId="ListNumber3">
    <w:name w:val="List Number 3"/>
    <w:basedOn w:val="Normal"/>
    <w:uiPriority w:val="99"/>
    <w:unhideWhenUsed/>
    <w:rsid w:val="0029639D"/>
    <w:pPr>
      <w:numPr>
        <w:numId w:val="7"/>
      </w:numPr>
      <w:contextualSpacing/>
    </w:pPr>
    <w:rPr>
      <w:rFonts w:ascii="微软雅黑" w:hAnsi="微软雅黑" w:eastAsia="微软雅黑" w:cs="微软雅黑"/>
    </w:rPr>
  </w:style>
  <w:style w:type="paragraph" w:styleId="ListContinue">
    <w:name w:val="List Continue"/>
    <w:basedOn w:val="Normal"/>
    <w:uiPriority w:val="99"/>
    <w:unhideWhenUsed/>
    <w:rsid w:val="0029639D"/>
    <w:pPr>
      <w:spacing w:after="120"/>
      <w:ind w:left="360"/>
      <w:contextualSpacing/>
    </w:pPr>
    <w:rPr>
      <w:rFonts w:ascii="微软雅黑" w:hAnsi="微软雅黑" w:eastAsia="微软雅黑" w:cs="微软雅黑"/>
    </w:rPr>
  </w:style>
  <w:style w:type="paragraph" w:styleId="ListContinue2">
    <w:name w:val="List Continue 2"/>
    <w:basedOn w:val="Normal"/>
    <w:uiPriority w:val="99"/>
    <w:unhideWhenUsed/>
    <w:rsid w:val="0029639D"/>
    <w:pPr>
      <w:spacing w:after="120"/>
      <w:ind w:left="720"/>
      <w:contextualSpacing/>
    </w:pPr>
    <w:rPr>
      <w:rFonts w:ascii="微软雅黑" w:hAnsi="微软雅黑" w:eastAsia="微软雅黑" w:cs="微软雅黑"/>
    </w:rPr>
  </w:style>
  <w:style w:type="paragraph" w:styleId="ListContinue3">
    <w:name w:val="List Continue 3"/>
    <w:basedOn w:val="Normal"/>
    <w:uiPriority w:val="99"/>
    <w:unhideWhenUsed/>
    <w:rsid w:val="0029639D"/>
    <w:pPr>
      <w:spacing w:after="120"/>
      <w:ind w:left="1080"/>
      <w:contextualSpacing/>
    </w:pPr>
    <w:rPr>
      <w:rFonts w:ascii="微软雅黑" w:hAnsi="微软雅黑" w:eastAsia="微软雅黑" w:cs="微软雅黑"/>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微软雅黑" w:hAnsi="微软雅黑" w:eastAsia="微软雅黑" w:cs="微软雅黑"/>
      <w:sz w:val="20"/>
      <w:szCs w:val="20"/>
    </w:rPr>
  </w:style>
  <w:style w:type="character" w:customStyle="1" w:styleId="MacroTextChar">
    <w:name w:val="Macro Text Char"/>
    <w:basedOn w:val="DefaultParagraphFont"/>
    <w:link w:val="MacroText"/>
    <w:uiPriority w:val="99"/>
    <w:rsid w:val="0029639D"/>
    <w:rPr>
      <w:rFonts w:ascii="微软雅黑" w:hAnsi="微软雅黑" w:eastAsia="微软雅黑" w:cs="微软雅黑"/>
      <w:sz w:val="20"/>
      <w:szCs w:val="20"/>
    </w:rPr>
  </w:style>
  <w:style w:type="paragraph" w:styleId="Quote">
    <w:name w:val="Quote"/>
    <w:basedOn w:val="Normal"/>
    <w:next w:val="Normal"/>
    <w:link w:val="QuoteChar"/>
    <w:uiPriority w:val="29"/>
    <w:qFormat/>
    <w:rsid w:val="00FC693F"/>
    <w:rPr>
      <w:rFonts w:ascii="微软雅黑" w:hAnsi="微软雅黑" w:eastAsia="微软雅黑" w:cs="微软雅黑"/>
      <w:i/>
      <w:iCs/>
      <w:color w:val="000000" w:themeColor="text1"/>
    </w:rPr>
  </w:style>
  <w:style w:type="character" w:customStyle="1" w:styleId="QuoteChar">
    <w:name w:val="Quote Char"/>
    <w:basedOn w:val="DefaultParagraphFont"/>
    <w:link w:val="Quote"/>
    <w:uiPriority w:val="29"/>
    <w:rsid w:val="00FC693F"/>
    <w:rPr>
      <w:rFonts w:ascii="微软雅黑" w:hAnsi="微软雅黑" w:eastAsia="微软雅黑" w:cs="微软雅黑"/>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微软雅黑" w:hAnsi="微软雅黑" w:eastAsia="微软雅黑" w:cs="微软雅黑"/>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微软雅黑" w:hAnsi="微软雅黑" w:eastAsia="微软雅黑" w:cs="微软雅黑"/>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微软雅黑" w:hAnsi="微软雅黑" w:eastAsia="微软雅黑" w:cs="微软雅黑"/>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微软雅黑" w:hAnsi="微软雅黑" w:eastAsia="微软雅黑" w:cs="微软雅黑"/>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微软雅黑" w:hAnsi="微软雅黑" w:eastAsia="微软雅黑" w:cs="微软雅黑"/>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微软雅黑" w:hAnsi="微软雅黑" w:eastAsia="微软雅黑" w:cs="微软雅黑"/>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微软雅黑" w:hAnsi="微软雅黑" w:eastAsia="微软雅黑" w:cs="微软雅黑"/>
      <w:b/>
      <w:bCs/>
      <w:color w:val="4F81BD" w:themeColor="accent1"/>
      <w:sz w:val="18"/>
      <w:szCs w:val="18"/>
    </w:rPr>
  </w:style>
  <w:style w:type="character" w:styleId="Strong">
    <w:name w:val="Strong"/>
    <w:basedOn w:val="DefaultParagraphFont"/>
    <w:uiPriority w:val="22"/>
    <w:qFormat/>
    <w:rsid w:val="00FC693F"/>
    <w:rPr>
      <w:rFonts w:ascii="微软雅黑" w:hAnsi="微软雅黑" w:eastAsia="微软雅黑" w:cs="微软雅黑"/>
      <w:b/>
      <w:bCs/>
    </w:rPr>
  </w:style>
  <w:style w:type="character" w:styleId="Emphasis">
    <w:name w:val="Emphasis"/>
    <w:basedOn w:val="DefaultParagraphFont"/>
    <w:uiPriority w:val="20"/>
    <w:qFormat/>
    <w:rsid w:val="00FC693F"/>
    <w:rPr>
      <w:rFonts w:ascii="微软雅黑" w:hAnsi="微软雅黑" w:eastAsia="微软雅黑" w:cs="微软雅黑"/>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微软雅黑" w:hAnsi="微软雅黑" w:eastAsia="微软雅黑" w:cs="微软雅黑"/>
      <w:b/>
      <w:bCs/>
      <w:i/>
      <w:iCs/>
      <w:color w:val="4F81BD" w:themeColor="accent1"/>
    </w:rPr>
  </w:style>
  <w:style w:type="character" w:customStyle="1" w:styleId="IntenseQuoteChar">
    <w:name w:val="Intense Quote Char"/>
    <w:basedOn w:val="DefaultParagraphFont"/>
    <w:link w:val="IntenseQuote"/>
    <w:uiPriority w:val="30"/>
    <w:rsid w:val="00FC693F"/>
    <w:rPr>
      <w:rFonts w:ascii="微软雅黑" w:hAnsi="微软雅黑" w:eastAsia="微软雅黑" w:cs="微软雅黑"/>
      <w:b/>
      <w:bCs/>
      <w:i/>
      <w:iCs/>
      <w:color w:val="4F81BD" w:themeColor="accent1"/>
    </w:rPr>
  </w:style>
  <w:style w:type="character" w:styleId="SubtleEmphasis">
    <w:name w:val="Subtle Emphasis"/>
    <w:basedOn w:val="DefaultParagraphFont"/>
    <w:uiPriority w:val="19"/>
    <w:qFormat/>
    <w:rsid w:val="00FC693F"/>
    <w:rPr>
      <w:rFonts w:ascii="微软雅黑" w:hAnsi="微软雅黑" w:eastAsia="微软雅黑" w:cs="微软雅黑"/>
      <w:i/>
      <w:iCs/>
      <w:color w:val="808080" w:themeColor="text1" w:themeTint="7F"/>
    </w:rPr>
  </w:style>
  <w:style w:type="character" w:styleId="IntenseEmphasis">
    <w:name w:val="Intense Emphasis"/>
    <w:basedOn w:val="DefaultParagraphFont"/>
    <w:uiPriority w:val="21"/>
    <w:qFormat/>
    <w:rsid w:val="00FC693F"/>
    <w:rPr>
      <w:rFonts w:ascii="微软雅黑" w:hAnsi="微软雅黑" w:eastAsia="微软雅黑" w:cs="微软雅黑"/>
      <w:b/>
      <w:bCs/>
      <w:i/>
      <w:iCs/>
      <w:color w:val="4F81BD" w:themeColor="accent1"/>
    </w:rPr>
  </w:style>
  <w:style w:type="character" w:styleId="SubtleReference">
    <w:name w:val="Subtle Reference"/>
    <w:basedOn w:val="DefaultParagraphFont"/>
    <w:uiPriority w:val="31"/>
    <w:qFormat/>
    <w:rsid w:val="00FC693F"/>
    <w:rPr>
      <w:rFonts w:ascii="微软雅黑" w:hAnsi="微软雅黑" w:eastAsia="微软雅黑" w:cs="微软雅黑"/>
      <w:smallCaps/>
      <w:color w:val="C0504D" w:themeColor="accent2"/>
      <w:u w:val="single"/>
    </w:rPr>
  </w:style>
  <w:style w:type="character" w:styleId="IntenseReference">
    <w:name w:val="Intense Reference"/>
    <w:basedOn w:val="DefaultParagraphFont"/>
    <w:uiPriority w:val="32"/>
    <w:qFormat/>
    <w:rsid w:val="00FC693F"/>
    <w:rPr>
      <w:rFonts w:ascii="微软雅黑" w:hAnsi="微软雅黑" w:eastAsia="微软雅黑" w:cs="微软雅黑"/>
      <w:b/>
      <w:bCs/>
      <w:smallCaps/>
      <w:color w:val="C0504D" w:themeColor="accent2"/>
      <w:spacing w:val="5"/>
      <w:u w:val="single"/>
    </w:rPr>
  </w:style>
  <w:style w:type="character" w:styleId="BookTitle">
    <w:name w:val="Book Title"/>
    <w:basedOn w:val="DefaultParagraphFont"/>
    <w:uiPriority w:val="33"/>
    <w:qFormat/>
    <w:rsid w:val="00FC693F"/>
    <w:rPr>
      <w:rFonts w:ascii="微软雅黑" w:hAnsi="微软雅黑" w:eastAsia="微软雅黑" w:cs="微软雅黑"/>
      <w:b/>
      <w:bCs/>
      <w:smallCaps/>
      <w:spacing w:val="5"/>
    </w:rPr>
  </w:style>
  <w:style w:type="paragraph" w:styleId="TOCHeading">
    <w:name w:val="TOC Heading"/>
    <w:basedOn w:val="Heading1"/>
    <w:next w:val="Normal"/>
    <w:uiPriority w:val="39"/>
    <w:semiHidden/>
    <w:unhideWhenUsed/>
    <w:qFormat/>
    <w:rsid w:val="00FC693F"/>
    <w:pPr>
      <w:outlineLvl w:val="9"/>
    </w:pPr>
    <w:rPr>
      <w:rFonts w:ascii="微软雅黑" w:hAnsi="微软雅黑" w:eastAsia="微软雅黑" w:cs="微软雅黑"/>
    </w:rPr>
  </w:style>
  <w:style w:type="table" w:styleId="TableGrid">
    <w:name w:val="Table Grid"/>
    <w:basedOn w:val="TableNormal"/>
    <w:uiPriority w:val="59"/>
    <w:rsid w:val="00FC693F"/>
    <w:pPr>
      <w:spacing w:after="0" w:line="240" w:lineRule="auto"/>
    </w:pPr>
    <w:rPr>
      <w:rFonts w:ascii="微软雅黑" w:hAnsi="微软雅黑" w:eastAsia="微软雅黑" w:cs="微软雅黑"/>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微软雅黑" w:hAnsi="微软雅黑" w:eastAsia="微软雅黑" w:cs="微软雅黑"/>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微软雅黑" w:hAnsi="微软雅黑" w:eastAsia="微软雅黑" w:cs="微软雅黑"/>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微软雅黑" w:hAnsi="微软雅黑" w:eastAsia="微软雅黑" w:cs="微软雅黑"/>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微软雅黑" w:hAnsi="微软雅黑" w:eastAsia="微软雅黑" w:cs="微软雅黑"/>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微软雅黑" w:hAnsi="微软雅黑" w:eastAsia="微软雅黑" w:cs="微软雅黑"/>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微软雅黑" w:hAnsi="微软雅黑" w:eastAsia="微软雅黑" w:cs="微软雅黑"/>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微软雅黑" w:hAnsi="微软雅黑" w:eastAsia="微软雅黑" w:cs="微软雅黑"/>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微软雅黑" w:hAnsi="微软雅黑" w:eastAsia="微软雅黑" w:cs="微软雅黑"/>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微软雅黑" w:hAnsi="微软雅黑" w:eastAsia="微软雅黑" w:cs="微软雅黑"/>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微软雅黑" w:hAnsi="微软雅黑" w:eastAsia="微软雅黑" w:cs="微软雅黑"/>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微软雅黑" w:hAnsi="微软雅黑" w:eastAsia="微软雅黑" w:cs="微软雅黑"/>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微软雅黑" w:hAnsi="微软雅黑" w:eastAsia="微软雅黑" w:cs="微软雅黑"/>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微软雅黑" w:hAnsi="微软雅黑" w:eastAsia="微软雅黑" w:cs="微软雅黑"/>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微软雅黑" w:hAnsi="微软雅黑" w:eastAsia="微软雅黑" w:cs="微软雅黑"/>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