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EA263">
      <w:pPr>
        <w:spacing w:before="2080" w:after="160"/>
        <w:jc w:val="center"/>
      </w:pPr>
      <w:r>
        <w:rPr>
          <w:b/>
          <w:color w:val="2D70B1"/>
        </w:rPr>
        <w:t>AI 游戏创作工具用户研究</w:t>
      </w:r>
    </w:p>
    <w:p w14:paraId="5A08842F">
      <w:pPr>
        <w:pStyle w:val="168"/>
      </w:pPr>
      <w:r>
        <w:t>大学生 AI 游戏创作工具用户研究</w:t>
      </w:r>
    </w:p>
    <w:p w14:paraId="13C3DF36">
      <w:pPr>
        <w:pStyle w:val="169"/>
      </w:pPr>
      <w:r>
        <w:rPr>
          <w:rFonts w:hint="eastAsia"/>
          <w:lang w:val="en-US" w:eastAsia="zh-CN"/>
        </w:rPr>
        <w:t>研究</w:t>
      </w:r>
      <w:r>
        <w:t>报告</w:t>
      </w:r>
    </w:p>
    <w:p w14:paraId="5C56CFD1">
      <w:pPr>
        <w:spacing w:before="160" w:after="0"/>
        <w:jc w:val="center"/>
      </w:pPr>
      <w:r>
        <w:t>量化图表版｜生产端与消费端的实际使用、协作过程与评价条件</w:t>
      </w:r>
    </w:p>
    <w:p w14:paraId="23FFA1FF">
      <w:pPr>
        <w:pStyle w:val="170"/>
      </w:pPr>
      <w:r>
        <w:t>编辑：左涵俊</w:t>
      </w:r>
    </w:p>
    <w:p w14:paraId="105F9935">
      <w:pPr>
        <w:pStyle w:val="170"/>
      </w:pPr>
      <w:r>
        <w:t>2026 年 7 月</w:t>
      </w:r>
      <w:r>
        <w:br w:type="page"/>
      </w:r>
    </w:p>
    <w:p w14:paraId="3E8536BC">
      <w:pPr>
        <w:pStyle w:val="171"/>
      </w:pPr>
      <w:r>
        <w:t>目录</w:t>
      </w:r>
    </w:p>
    <w:p w14:paraId="582CA998">
      <w:pPr>
        <w:pStyle w:val="27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rPr>
          <w:color w:val="606A73"/>
          <w:sz w:val="20"/>
        </w:rP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"_Toc236239818" </w:instrText>
      </w:r>
      <w:r>
        <w:fldChar w:fldCharType="separate"/>
      </w:r>
      <w:r>
        <w:rPr>
          <w:rStyle w:val="138"/>
        </w:rPr>
        <w:t>第一章 研究背景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_Toc236239818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47309F4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"_Toc236239819" </w:instrText>
      </w:r>
      <w:r>
        <w:fldChar w:fldCharType="separate"/>
      </w:r>
      <w:r>
        <w:rPr>
          <w:rStyle w:val="138"/>
        </w:rPr>
        <w:t>1.1 AI 已进入游戏生产和发布的具体环节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_Toc236239819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C51B866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"_Toc236239820" </w:instrText>
      </w:r>
      <w:r>
        <w:fldChar w:fldCharType="separate"/>
      </w:r>
      <w:r>
        <w:rPr>
          <w:rStyle w:val="138"/>
        </w:rPr>
        <w:t>1.2 研究从哪里出发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61BE3F7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"_Toc236239821" </w:instrText>
      </w:r>
      <w:r>
        <w:fldChar w:fldCharType="separate"/>
      </w:r>
      <w:r>
        <w:rPr>
          <w:rStyle w:val="138"/>
        </w:rPr>
        <w:t>1.3 核心概念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7055C6F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"_Toc236239822" </w:instrText>
      </w:r>
      <w:r>
        <w:fldChar w:fldCharType="separate"/>
      </w:r>
      <w:r>
        <w:rPr>
          <w:rStyle w:val="138"/>
        </w:rPr>
        <w:t>1.4 本研究的定位与范围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3B80921">
      <w:pPr>
        <w:pStyle w:val="27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"_Toc236239823" </w:instrText>
      </w:r>
      <w:r>
        <w:fldChar w:fldCharType="separate"/>
      </w:r>
      <w:r>
        <w:rPr>
          <w:rStyle w:val="138"/>
        </w:rPr>
        <w:t>第二章 研究目标与核心问题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6432C06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"_Toc236239824" </w:instrText>
      </w:r>
      <w:r>
        <w:fldChar w:fldCharType="separate"/>
      </w:r>
      <w:r>
        <w:rPr>
          <w:rStyle w:val="138"/>
        </w:rPr>
        <w:t>2.1 研究目标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9FCD7BD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"_Toc236239825" </w:instrText>
      </w:r>
      <w:r>
        <w:fldChar w:fldCharType="separate"/>
      </w:r>
      <w:r>
        <w:rPr>
          <w:rStyle w:val="138"/>
        </w:rPr>
        <w:t>2.2 核心问题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3ED6DA4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"_Toc236239826" </w:instrText>
      </w:r>
      <w:r>
        <w:fldChar w:fldCharType="separate"/>
      </w:r>
      <w:r>
        <w:rPr>
          <w:rStyle w:val="138"/>
        </w:rPr>
        <w:t>2.2.1 生产端——专业 AI 编程工具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693E958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"_Toc236239827" </w:instrText>
      </w:r>
      <w:r>
        <w:fldChar w:fldCharType="separate"/>
      </w:r>
      <w:r>
        <w:rPr>
          <w:rStyle w:val="138"/>
        </w:rPr>
        <w:t>2.2.2 生产端——一站式 AI 游戏创作平台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36BBAB8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"_Toc236239828" </w:instrText>
      </w:r>
      <w:r>
        <w:fldChar w:fldCharType="separate"/>
      </w:r>
      <w:r>
        <w:rPr>
          <w:rStyle w:val="138"/>
        </w:rPr>
        <w:t>2.2.3 消费端——作品体验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6E7184E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"_Toc236239829" </w:instrText>
      </w:r>
      <w:r>
        <w:fldChar w:fldCharType="separate"/>
      </w:r>
      <w:r>
        <w:rPr>
          <w:rStyle w:val="138"/>
        </w:rPr>
        <w:t>2.3 研究对象与主要证据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_Toc236239829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A9C6504">
      <w:pPr>
        <w:pStyle w:val="27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"_Toc236239830" </w:instrText>
      </w:r>
      <w:r>
        <w:fldChar w:fldCharType="separate"/>
      </w:r>
      <w:r>
        <w:rPr>
          <w:rStyle w:val="138"/>
        </w:rPr>
        <w:t>第三章 研究材料与样本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CDC2DE1">
      <w:pPr>
        <w:pStyle w:val="27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"_Toc236239831"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第四章 生产端发现：以Codex为代表的大学生游戏程序构建实践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5D9125D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"_Toc236239832"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4.1 问卷发现：AI编程工具参与下的大学生游戏程序构建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3A25CEB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"_Toc236239833"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4.1.1 核心样本及其项目情境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6D362C4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"_Toc236239834"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4.1.2 程序基础与当前任务完成能力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6809FF0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"_Toc236239835"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4.1.3 AI工具进入的任务环节与实际作用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F84B6DE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"_Toc236239836"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4.2 从需求拆分到项目接入：三个案例中的程序配合过程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1684614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"_Toc236239837"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4.2.1 用户先把创作目标整理成可执行任务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8554886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"_Toc236239838"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4.2.2 可运行结果需要经过持续测试和修正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ACC4605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"_Toc236239839"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4.2.3 不同项目中的修改范围与人工控制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_Toc236239839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9A72C13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"_Toc236239840"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4.3 问卷与案例共同支持的程序协作发现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D528AEC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"_Toc236239841"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4.3.1 核心诉求集中在快速形成可继续处理的结果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2A87E84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"_Toc236239842"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4.3.2 代码生成之后仍有持续检查和修改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50A4E51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"_Toc236239843"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4.3.3 人工控制集中在任务范围、运行检查和项目接入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76B5463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"_Toc236239844" </w:instrText>
      </w:r>
      <w:r>
        <w:fldChar w:fldCharType="separate"/>
      </w:r>
      <w:r>
        <w:rPr>
          <w:rStyle w:val="138"/>
          <w:rFonts w:ascii="微软雅黑" w:hAnsi="微软雅黑" w:cs="微软雅黑"/>
        </w:rPr>
        <w:t>4.4 已毕业用户的对照观察与适用边界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B91476F">
      <w:pPr>
        <w:pStyle w:val="27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"_Toc236239845" </w:instrText>
      </w:r>
      <w:r>
        <w:fldChar w:fldCharType="separate"/>
      </w:r>
      <w:r>
        <w:rPr>
          <w:rStyle w:val="138"/>
        </w:rPr>
        <w:t>第五章 生产端发现：以TapTap制造为案例锚点的一站式创作实践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F6E55A0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"_Toc236239846" </w:instrText>
      </w:r>
      <w:r>
        <w:fldChar w:fldCharType="separate"/>
      </w:r>
      <w:r>
        <w:rPr>
          <w:rStyle w:val="138"/>
        </w:rPr>
        <w:t>5.1 一站式平台主要用于形成原型并验证玩法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6D7AEF8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"_Toc236239847" </w:instrText>
      </w:r>
      <w:r>
        <w:fldChar w:fldCharType="separate"/>
      </w:r>
      <w:r>
        <w:rPr>
          <w:rStyle w:val="138"/>
        </w:rPr>
        <w:t>5.1.1 平台用途集中于形成可测试的初步结果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B6043BF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"_Toc236239848" </w:instrText>
      </w:r>
      <w:r>
        <w:fldChar w:fldCharType="separate"/>
      </w:r>
      <w:r>
        <w:rPr>
          <w:rStyle w:val="138"/>
        </w:rPr>
        <w:t>5.1.2 生成后的主要工作是说明需求、选择方向和修改结果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713E68E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"_Toc236239849" </w:instrText>
      </w:r>
      <w:r>
        <w:fldChar w:fldCharType="separate"/>
      </w:r>
      <w:r>
        <w:rPr>
          <w:rStyle w:val="138"/>
        </w:rPr>
        <w:t>5.2 生成结果在持续说明和测试中逐步接近创作目标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_Toc236239849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180AC48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"_Toc236239850" </w:instrText>
      </w:r>
      <w:r>
        <w:fldChar w:fldCharType="separate"/>
      </w:r>
      <w:r>
        <w:rPr>
          <w:rStyle w:val="138"/>
        </w:rPr>
        <w:t>5.2.1 首轮结果需要补充限制条件和目标效果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05DFFB4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"_Toc236239851" </w:instrText>
      </w:r>
      <w:r>
        <w:fldChar w:fldCharType="separate"/>
      </w:r>
      <w:r>
        <w:rPr>
          <w:rStyle w:val="138"/>
        </w:rPr>
        <w:t>5.2.2 多轮说明、筛选和测试贯穿可试玩结果形成过程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127630D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"_Toc236239852" </w:instrText>
      </w:r>
      <w:r>
        <w:fldChar w:fldCharType="separate"/>
      </w:r>
      <w:r>
        <w:rPr>
          <w:rStyle w:val="138"/>
        </w:rPr>
        <w:t>5.3 平台支持创作启动，用户继续推进作品完善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F0FA836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"_Toc236239853" </w:instrText>
      </w:r>
      <w:r>
        <w:fldChar w:fldCharType="separate"/>
      </w:r>
      <w:r>
        <w:rPr>
          <w:rStyle w:val="138"/>
        </w:rPr>
        <w:t>5.3.1 平台把创意推进到实际测试阶段</w:t>
      </w:r>
      <w:r>
        <w:rPr>
          <w:rStyle w:val="138"/>
          <w:rFonts w:eastAsia="宋体"/>
          <w:lang w:eastAsia="zh-CN"/>
        </w:rPr>
        <w:t>，但首轮结果可能偏离设想，方向调整仍需用户判断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6B50C30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"_Toc236239854" </w:instrText>
      </w:r>
      <w:r>
        <w:fldChar w:fldCharType="separate"/>
      </w:r>
      <w:r>
        <w:rPr>
          <w:rStyle w:val="138"/>
        </w:rPr>
        <w:t>5.3.2 可试玩状态与后续修改问题可以同时存在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AA17A50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"_Toc236239855" </w:instrText>
      </w:r>
      <w:r>
        <w:fldChar w:fldCharType="separate"/>
      </w:r>
      <w:r>
        <w:rPr>
          <w:rStyle w:val="138"/>
        </w:rPr>
        <w:t>5.3.3 后续完善需要准确修改、玩法测试和表现统一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FDDFFB1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"_Toc236239856" </w:instrText>
      </w:r>
      <w:r>
        <w:fldChar w:fldCharType="separate"/>
      </w:r>
      <w:r>
        <w:rPr>
          <w:rStyle w:val="138"/>
        </w:rPr>
        <w:t>5.4 补充观察：可运行与已发布记录仍包含持续调整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2A6FEB8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"_Toc236239857" </w:instrText>
      </w:r>
      <w:r>
        <w:fldChar w:fldCharType="separate"/>
      </w:r>
      <w:r>
        <w:rPr>
          <w:rStyle w:val="138"/>
        </w:rPr>
        <w:t>5.4.1 实现方式调整后仍有玩法深化问题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B86B562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"_Toc236239858" </w:instrText>
      </w:r>
      <w:r>
        <w:fldChar w:fldCharType="separate"/>
      </w:r>
      <w:r>
        <w:rPr>
          <w:rStyle w:val="138"/>
        </w:rPr>
        <w:t>5.4.2 已发布个案仍包含测试、素材处理和精确修改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9E93098">
      <w:pPr>
        <w:pStyle w:val="27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"_Toc236239859" </w:instrText>
      </w:r>
      <w:r>
        <w:fldChar w:fldCharType="separate"/>
      </w:r>
      <w:r>
        <w:rPr>
          <w:rStyle w:val="138"/>
          <w:rFonts w:ascii="微软雅黑" w:hAnsi="微软雅黑"/>
        </w:rPr>
        <w:t>第六章 消费端发现：大学生玩家对AI参与作品的评价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_Toc236239859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1F9EF58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"_Toc236239860" </w:instrText>
      </w:r>
      <w:r>
        <w:fldChar w:fldCharType="separate"/>
      </w:r>
      <w:r>
        <w:rPr>
          <w:rStyle w:val="138"/>
          <w:rFonts w:ascii="微软雅黑" w:hAnsi="微软雅黑"/>
        </w:rPr>
        <w:t>6.1 问卷发现：AI参与认知、作品评价与支持意愿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C5FB852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"_Toc236239861" </w:instrText>
      </w:r>
      <w:r>
        <w:fldChar w:fldCharType="separate"/>
      </w:r>
      <w:r>
        <w:rPr>
          <w:rStyle w:val="138"/>
          <w:rFonts w:ascii="微软雅黑" w:hAnsi="微软雅黑"/>
        </w:rPr>
        <w:t>6.1.1 事先信息和视觉内容构成AI参与认知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F2EE1DA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"_Toc236239862" </w:instrText>
      </w:r>
      <w:r>
        <w:fldChar w:fldCharType="separate"/>
      </w:r>
      <w:r>
        <w:rPr>
          <w:rStyle w:val="138"/>
          <w:rFonts w:ascii="微软雅黑" w:hAnsi="微软雅黑"/>
        </w:rPr>
        <w:t>6.1.2 玩法清晰较易获得认可，反馈与视听品质评价较低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49B4DA6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"_Toc236239863" </w:instrText>
      </w:r>
      <w:r>
        <w:fldChar w:fldCharType="separate"/>
      </w:r>
      <w:r>
        <w:rPr>
          <w:rStyle w:val="138"/>
          <w:rFonts w:ascii="微软雅黑" w:hAnsi="微软雅黑"/>
        </w:rPr>
        <w:t>6.1.3 AI参与评价呈现三种方向，支持意愿按行为分别形成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4FEB0E5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"_Toc236239864" </w:instrText>
      </w:r>
      <w:r>
        <w:fldChar w:fldCharType="separate"/>
      </w:r>
      <w:r>
        <w:rPr>
          <w:rStyle w:val="138"/>
          <w:rFonts w:ascii="微软雅黑" w:hAnsi="微软雅黑"/>
        </w:rPr>
        <w:t>6.2 访谈发现：AI参与作品的价值判断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9D527FF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"_Toc236239865" </w:instrText>
      </w:r>
      <w:r>
        <w:fldChar w:fldCharType="separate"/>
      </w:r>
      <w:r>
        <w:rPr>
          <w:rStyle w:val="138"/>
          <w:rFonts w:ascii="微软雅黑" w:hAnsi="微软雅黑"/>
        </w:rPr>
        <w:t>6.2.1 美术、文本和音乐比代码更容易被注意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16C1D35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"_Toc236239866" </w:instrText>
      </w:r>
      <w:r>
        <w:fldChar w:fldCharType="separate"/>
      </w:r>
      <w:r>
        <w:rPr>
          <w:rStyle w:val="138"/>
          <w:rFonts w:ascii="微软雅黑" w:hAnsi="微软雅黑"/>
        </w:rPr>
        <w:t>6.2.2 玩法成立是基础，生成内容仍需创作者筛选和统一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BA93D3D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"_Toc236239867" </w:instrText>
      </w:r>
      <w:r>
        <w:fldChar w:fldCharType="separate"/>
      </w:r>
      <w:r>
        <w:rPr>
          <w:rStyle w:val="138"/>
          <w:rFonts w:ascii="微软雅黑" w:hAnsi="微软雅黑"/>
        </w:rPr>
        <w:t>6.2.3 继续体验看玩法与流程，付费还看完成度、模型质量与价格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69F35D6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"_Toc236239868" </w:instrText>
      </w:r>
      <w:r>
        <w:fldChar w:fldCharType="separate"/>
      </w:r>
      <w:r>
        <w:rPr>
          <w:rStyle w:val="138"/>
          <w:rFonts w:ascii="微软雅黑" w:hAnsi="微软雅黑"/>
        </w:rPr>
        <w:t>6.3 综合结论：作品质量是玩家评价AI参与作品的中心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4E12311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"_Toc236239869" </w:instrText>
      </w:r>
      <w:r>
        <w:fldChar w:fldCharType="separate"/>
      </w:r>
      <w:r>
        <w:rPr>
          <w:rStyle w:val="138"/>
          <w:rFonts w:ascii="微软雅黑" w:hAnsi="微软雅黑"/>
        </w:rPr>
        <w:t>6.3.1 玩家评价与质量筛选构成平台突破口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_Toc236239869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C0B123A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"_Toc236239870" </w:instrText>
      </w:r>
      <w:r>
        <w:fldChar w:fldCharType="separate"/>
      </w:r>
      <w:r>
        <w:rPr>
          <w:rStyle w:val="138"/>
          <w:rFonts w:ascii="微软雅黑" w:hAnsi="微软雅黑"/>
        </w:rPr>
        <w:t>6.4 补充观察：首次体验障碍与AI标注态度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FC706BF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"_Toc236239871" </w:instrText>
      </w:r>
      <w:r>
        <w:fldChar w:fldCharType="separate"/>
      </w:r>
      <w:r>
        <w:rPr>
          <w:rStyle w:val="138"/>
          <w:rFonts w:ascii="微软雅黑" w:hAnsi="微软雅黑"/>
        </w:rPr>
        <w:t>6.4.1 知名度、发现渠道与质量担忧限制首次体验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15AB8C2">
      <w:pPr>
        <w:pStyle w:val="24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"_Toc236239872" </w:instrText>
      </w:r>
      <w:r>
        <w:fldChar w:fldCharType="separate"/>
      </w:r>
      <w:r>
        <w:rPr>
          <w:rStyle w:val="138"/>
          <w:rFonts w:ascii="微软雅黑" w:hAnsi="微软雅黑"/>
        </w:rPr>
        <w:t>6.4.2 AI标注要求与体验后评价指向不同问题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06ECF8E">
      <w:pPr>
        <w:pStyle w:val="27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"_Toc236239873" </w:instrText>
      </w:r>
      <w:r>
        <w:fldChar w:fldCharType="separate"/>
      </w:r>
      <w:r>
        <w:rPr>
          <w:rStyle w:val="138"/>
        </w:rPr>
        <w:t>第七章 综合结论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61D55B3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"_Toc236239874" </w:instrText>
      </w:r>
      <w:r>
        <w:fldChar w:fldCharType="separate"/>
      </w:r>
      <w:r>
        <w:rPr>
          <w:rStyle w:val="138"/>
        </w:rPr>
        <w:t>7.1 Codex在大学生游戏程序工作流中的使用结论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E6D8912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"_Toc236239875" </w:instrText>
      </w:r>
      <w:r>
        <w:fldChar w:fldCharType="separate"/>
      </w:r>
      <w:r>
        <w:rPr>
          <w:rStyle w:val="138"/>
        </w:rPr>
        <w:t>7.2 以TapTap制造为核心锚点的一站式平台创作结论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B305798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"_Toc236239876" </w:instrText>
      </w:r>
      <w:r>
        <w:fldChar w:fldCharType="separate"/>
      </w:r>
      <w:r>
        <w:rPr>
          <w:rStyle w:val="138"/>
        </w:rPr>
        <w:t>7.3 实际体验过一站式AI平台作品的大学生玩家评价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89D5D54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"_Toc236239877" </w:instrText>
      </w:r>
      <w:r>
        <w:fldChar w:fldCharType="separate"/>
      </w:r>
      <w:r>
        <w:rPr>
          <w:rStyle w:val="138"/>
        </w:rPr>
        <w:t>7.4 三部分材料的共同判断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81223C7">
      <w:pPr>
        <w:pStyle w:val="27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"_Toc236239878" </w:instrText>
      </w:r>
      <w:r>
        <w:fldChar w:fldCharType="separate"/>
      </w:r>
      <w:r>
        <w:rPr>
          <w:rStyle w:val="138"/>
          <w:rFonts w:ascii="微软雅黑" w:hAnsi="微软雅黑"/>
          <w:lang w:val="zh-CN" w:eastAsia="zh-CN"/>
        </w:rPr>
        <w:t>第八章 研究限制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AF34EFB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"_Toc236239879" </w:instrText>
      </w:r>
      <w:r>
        <w:fldChar w:fldCharType="separate"/>
      </w:r>
      <w:r>
        <w:rPr>
          <w:rStyle w:val="138"/>
          <w:rFonts w:ascii="微软雅黑" w:hAnsi="微软雅黑"/>
          <w:lang w:val="zh-CN" w:eastAsia="zh-CN"/>
        </w:rPr>
        <w:t>8.1 样本来源与规模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_Toc236239879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329A3D0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"_Toc236239880" </w:instrText>
      </w:r>
      <w:r>
        <w:fldChar w:fldCharType="separate"/>
      </w:r>
      <w:r>
        <w:rPr>
          <w:rStyle w:val="138"/>
          <w:rFonts w:ascii="微软雅黑" w:hAnsi="微软雅黑"/>
          <w:lang w:val="zh-CN" w:eastAsia="zh-CN"/>
        </w:rPr>
        <w:t>8.2 一站式平台材料范围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_Toc236239880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F7E37FB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"_Toc236239881" </w:instrText>
      </w:r>
      <w:r>
        <w:fldChar w:fldCharType="separate"/>
      </w:r>
      <w:r>
        <w:rPr>
          <w:rStyle w:val="138"/>
          <w:rFonts w:ascii="微软雅黑" w:hAnsi="微软雅黑"/>
          <w:lang w:val="zh-CN" w:eastAsia="zh-CN"/>
        </w:rPr>
        <w:t>8.3 对照条件限制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_Toc236239881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83674B9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"_Toc236239882" </w:instrText>
      </w:r>
      <w:r>
        <w:fldChar w:fldCharType="separate"/>
      </w:r>
      <w:r>
        <w:rPr>
          <w:rStyle w:val="138"/>
          <w:rFonts w:ascii="微软雅黑" w:hAnsi="微软雅黑"/>
          <w:lang w:val="zh-CN" w:eastAsia="zh-CN"/>
        </w:rPr>
        <w:t>8.4 作品过程追踪限制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_Toc236239882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C289D33">
      <w:pPr>
        <w:pStyle w:val="30"/>
        <w:tabs>
          <w:tab w:val="right" w:leader="dot" w:pos="9174"/>
        </w:tabs>
        <w:rPr>
          <w:rFonts w:hint="eastAsia" w:asciiTheme="minorHAnsi" w:hAnsiTheme="minorHAnsi" w:eastAsiaTheme="minorEastAsia"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HYPERLINK \l "_Toc236239883" </w:instrText>
      </w:r>
      <w:r>
        <w:fldChar w:fldCharType="separate"/>
      </w:r>
      <w:r>
        <w:rPr>
          <w:rStyle w:val="138"/>
          <w:rFonts w:ascii="微软雅黑" w:hAnsi="微软雅黑"/>
          <w:lang w:val="zh-CN" w:eastAsia="zh-CN"/>
        </w:rPr>
        <w:t>8.5 访谈材料的使用边界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_Toc236239883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34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93D9703">
      <w:pPr>
        <w:pStyle w:val="172"/>
      </w:pPr>
      <w:r>
        <w:fldChar w:fldCharType="end"/>
      </w:r>
    </w:p>
    <w:p w14:paraId="52852F96">
      <w:pPr>
        <w:pStyle w:val="3"/>
        <w:pageBreakBefore w:val="0"/>
        <w:ind w:firstLine="0"/>
      </w:pPr>
      <w:bookmarkStart w:id="0" w:name="_Toc236239818"/>
      <w:r>
        <w:t>第一章 研究背景</w:t>
      </w:r>
      <w:bookmarkEnd w:id="0"/>
    </w:p>
    <w:p w14:paraId="5A7F68C1">
      <w:pPr>
        <w:pStyle w:val="4"/>
      </w:pPr>
      <w:bookmarkStart w:id="1" w:name="_Toc236239819"/>
      <w:r>
        <w:t>1.1 AI 已进入游戏生产和发布的具体环节</w:t>
      </w:r>
      <w:bookmarkEnd w:id="1"/>
    </w:p>
    <w:p w14:paraId="64E29717">
      <w:pPr>
        <w:spacing w:after="100" w:line="317" w:lineRule="auto"/>
      </w:pPr>
      <w:r>
        <w:rPr>
          <w:color w:val="191919"/>
        </w:rPr>
        <w:t>2026 年 GDC 游戏行业状况调查收集了 2300 多名游戏行业从业者的回答。调查中，36% 的受访者表示已在工作中使用生成式 AI；常见用途包括代码辅助（47%）和原型制作（35%）。与此同时，52% 的受访者认为生成式 AI 对游戏行业产生了负面影响。[1] 这组结果说明，AI 已经进入实际工作，但用户是否接受它，仍与作品质量、责任归属和创作控制有关。</w:t>
      </w:r>
    </w:p>
    <w:p w14:paraId="63CB4B88">
      <w:pPr>
        <w:spacing w:after="100" w:line="317" w:lineRule="auto"/>
      </w:pPr>
      <w:r>
        <w:rPr>
          <w:color w:val="191919"/>
        </w:rPr>
        <w:t>产品功能和发行规则也在发生变化。Unity AI 已能够理解场景、检查 GameObject 与组件、协助执行编辑器操作，并核对修改后的运行结果；Steam 的内容问卷则要求开发者说明作品中预先生成和运行时生成的 AI 内容。[2][3] AI 因而不再只出现在一次问答或单张素材生成中，它已经进入开发、检查、发布和玩家接触作品的多个环节。</w:t>
      </w:r>
    </w:p>
    <w:p w14:paraId="091D9C1E">
      <w:pPr>
        <w:pStyle w:val="4"/>
      </w:pPr>
      <w:bookmarkStart w:id="2" w:name="_Toc236239820"/>
      <w:r>
        <w:t>1.2 研究从哪里出发</w:t>
      </w:r>
      <w:bookmarkEnd w:id="2"/>
    </w:p>
    <w:p w14:paraId="4FFADA1A">
      <w:pPr>
        <w:spacing w:after="100" w:line="317" w:lineRule="auto"/>
      </w:pPr>
      <w:r>
        <w:rPr>
          <w:color w:val="191919"/>
        </w:rPr>
        <w:t>公开资料能够说明产品提供了哪些功能，却很难回答这些功能进入真实项目后发生了什么。专业工具可能加快编码和调试，也可能在项目理解、代码维护和人工检查上带来新的要求；一站式平台能够快速生成可玩的初稿，但作品能否继续修改、稳定运行并完成发布，仍取决于生成之后的过程。作品进入玩家视野后，玩家是否注意到 AI、是否在意，以及他们最终按照什么标准评价作品，也需要通过实际体验来观察。</w:t>
      </w:r>
    </w:p>
    <w:p w14:paraId="658E01EB">
      <w:pPr>
        <w:spacing w:after="100" w:line="317" w:lineRule="auto"/>
      </w:pPr>
      <w:r>
        <w:rPr>
          <w:color w:val="191919"/>
        </w:rPr>
        <w:t>大学生常同时处在学习、课程项目、Game Jam、社团协作、独立创作和游戏体验等情境中。任务周期、技术基础和项目目标并不相同，因而能够呈现 AI 在不同条件下怎样帮助推进任务、又在哪里遇到问题。本研究据此把关注点放在大学生的具体使用和体验，而不是只整理产品功能。</w:t>
      </w:r>
    </w:p>
    <w:p w14:paraId="13EC727C">
      <w:pPr>
        <w:pStyle w:val="4"/>
      </w:pPr>
      <w:bookmarkStart w:id="3" w:name="_Toc236239821"/>
      <w:r>
        <w:t>1.3 核心概念</w:t>
      </w:r>
      <w:bookmarkEnd w:id="3"/>
    </w:p>
    <w:p w14:paraId="70F0B7EA">
      <w:pPr>
        <w:spacing w:after="80" w:line="317" w:lineRule="auto"/>
        <w:ind w:left="280" w:hanging="280"/>
      </w:pPr>
      <w:r>
        <w:rPr>
          <w:b/>
          <w:color w:val="1F4E79"/>
        </w:rPr>
        <w:t>专业 AI 工具：</w:t>
      </w:r>
      <w:r>
        <w:rPr>
          <w:color w:val="191919"/>
        </w:rPr>
        <w:t>进入已有专业工作流程、协助完成某一类具体任务的 AI 工具，可用于程序、美术、音乐音频和文本策划等环节。本报告只深入考察其中的程序开发。</w:t>
      </w:r>
    </w:p>
    <w:p w14:paraId="5DCC870A">
      <w:pPr>
        <w:spacing w:after="80" w:line="317" w:lineRule="auto"/>
        <w:ind w:left="280" w:hanging="280"/>
      </w:pPr>
      <w:r>
        <w:rPr>
          <w:b/>
          <w:color w:val="1F4E79"/>
        </w:rPr>
        <w:t>一站式 AI 游戏创作平台：</w:t>
      </w:r>
      <w:r>
        <w:rPr>
          <w:color w:val="191919"/>
        </w:rPr>
        <w:t>用户主要通过自然语言提出创意，并在同一平台中继续生成、修改、测试和发布作品的产品。</w:t>
      </w:r>
    </w:p>
    <w:p w14:paraId="0A656E5E">
      <w:pPr>
        <w:spacing w:after="80" w:line="317" w:lineRule="auto"/>
        <w:ind w:left="280" w:hanging="280"/>
      </w:pPr>
      <w:r>
        <w:rPr>
          <w:b/>
          <w:color w:val="1F4E79"/>
        </w:rPr>
        <w:t>AI 参与作品与玩家感知：</w:t>
      </w:r>
      <w:r>
        <w:rPr>
          <w:color w:val="191919"/>
        </w:rPr>
        <w:t>AI 在开发或内容生成中参与过的游戏作品。消费端关注玩家是否注意到这种参与、依据什么作出判断，以及判断怎样影响评价；这里记录的是玩家的主观感受，不把它当作准确识别结果。</w:t>
      </w:r>
    </w:p>
    <w:p w14:paraId="7047B68E">
      <w:pPr>
        <w:pStyle w:val="4"/>
      </w:pPr>
      <w:bookmarkStart w:id="4" w:name="_Toc236239822"/>
      <w:r>
        <w:t>1.4 本研究的定位与范围</w:t>
      </w:r>
      <w:bookmarkEnd w:id="4"/>
    </w:p>
    <w:p w14:paraId="0A335E73">
      <w:pPr>
        <w:spacing w:after="100" w:line="317" w:lineRule="auto"/>
      </w:pPr>
      <w:r>
        <w:rPr>
          <w:color w:val="191919"/>
        </w:rPr>
        <w:t>本研究聚焦生产端与消费端两个方面。生产端包含两条创作路径：第一条以 Codex 为核心代表，考察专业 AI 编程工具如何进入大学生游戏开发的程序工作流，包括需求拆解、编码、调试、人工检查与项目接入；第二条以 TapTap 制造为核心代表，考察一站式 AI 游戏创作平台如何支持大学生用户从创意生成走向修改、可玩或发布。消费端则关注实际体验过一站式 AI 平台作品的大学生玩家，观察他们对 AI 使用的感受、作品评价与进一步支持意愿。</w:t>
      </w:r>
    </w:p>
    <w:p w14:paraId="6FBB14CD">
      <w:pPr>
        <w:spacing w:after="100" w:line="317" w:lineRule="auto"/>
      </w:pPr>
      <w:r>
        <w:rPr>
          <w:color w:val="191919"/>
        </w:rPr>
        <w:t>Codex 与 TapTap 制造分别呈现两种差异明显的产品路径。Codex 能够进入已有项目环境，读取和修改项目文件，并配合命令执行、测试与人工检查，适合观察 AI 如何嵌入专业程序工作流，以及用户如何与 AI 分工、验证和接管。TapTap 制造则以自然语言创作为主要入口，将代码、美术、音乐、试玩和发布等环节集中在同一流程中，适合观察用户如何在不先搭建完整专业开发流程的情况下，把创意持续推进为可玩的作品。前者侧重增强已有开发流程，后者侧重降低完整作品的制作门槛，这一差异正是本研究选择二者的原因。[4][5]</w:t>
      </w:r>
    </w:p>
    <w:p w14:paraId="7719F10F">
      <w:pPr>
        <w:spacing w:after="100" w:line="317" w:lineRule="auto"/>
      </w:pPr>
      <w:r>
        <w:rPr>
          <w:color w:val="191919"/>
        </w:rPr>
        <w:t>本报告是一项围绕大学生实际使用过程展开的用户研究，重点呈现人的诉求、人与 AI 的协作过程、创作推进中的顺利与受阻环节，以及玩家形成评价的条件。产品之间的优劣、行业整体采用情况和长期使用表现，需要结合更大范围的数据与持续观察另行研究。</w:t>
      </w:r>
    </w:p>
    <w:p w14:paraId="3941BE91">
      <w:pPr>
        <w:keepNext/>
        <w:spacing w:before="80" w:after="60"/>
      </w:pPr>
      <w:r>
        <w:rPr>
          <w:b/>
          <w:color w:val="1F4E79"/>
          <w:sz w:val="18"/>
        </w:rPr>
        <w:t>第一章资料来源（访问日期：2026 年 7 月 28 日）</w:t>
      </w:r>
    </w:p>
    <w:p w14:paraId="2A388CBB">
      <w:pPr>
        <w:spacing w:after="44" w:line="269" w:lineRule="auto"/>
        <w:ind w:left="280" w:hanging="280"/>
      </w:pPr>
      <w:r>
        <w:rPr>
          <w:color w:val="5B6570"/>
          <w:sz w:val="17"/>
        </w:rPr>
        <w:t xml:space="preserve">[1] </w:t>
      </w:r>
      <w:r>
        <w:fldChar w:fldCharType="begin"/>
      </w:r>
      <w:r>
        <w:instrText xml:space="preserve"> HYPERLINK "https://gdconf.com/article/gdc-2026-state-of-the-game-industry-reveals-impact-of-layoffs-generative-ai-and-more/" \h </w:instrText>
      </w:r>
      <w:r>
        <w:fldChar w:fldCharType="separate"/>
      </w:r>
      <w:r>
        <w:rPr>
          <w:color w:val="2D70B1"/>
          <w:sz w:val="17"/>
          <w:u w:val="single"/>
        </w:rPr>
        <w:t>GDC Festival of Gaming, “2026 State of the Game Industry”</w:t>
      </w:r>
      <w:r>
        <w:rPr>
          <w:color w:val="2D70B1"/>
          <w:sz w:val="17"/>
          <w:u w:val="single"/>
        </w:rPr>
        <w:fldChar w:fldCharType="end"/>
      </w:r>
    </w:p>
    <w:p w14:paraId="567BA36B">
      <w:pPr>
        <w:spacing w:after="44" w:line="269" w:lineRule="auto"/>
        <w:ind w:left="280" w:hanging="280"/>
      </w:pPr>
      <w:r>
        <w:rPr>
          <w:color w:val="5B6570"/>
          <w:sz w:val="17"/>
        </w:rPr>
        <w:t xml:space="preserve">[2] </w:t>
      </w:r>
      <w:r>
        <w:fldChar w:fldCharType="begin"/>
      </w:r>
      <w:r>
        <w:instrText xml:space="preserve"> HYPERLINK "https://unity.com/features/ai" \h </w:instrText>
      </w:r>
      <w:r>
        <w:fldChar w:fldCharType="separate"/>
      </w:r>
      <w:r>
        <w:rPr>
          <w:color w:val="2D70B1"/>
          <w:sz w:val="17"/>
          <w:u w:val="single"/>
        </w:rPr>
        <w:t>Unity, “Unity AI”</w:t>
      </w:r>
      <w:r>
        <w:rPr>
          <w:color w:val="2D70B1"/>
          <w:sz w:val="17"/>
          <w:u w:val="single"/>
        </w:rPr>
        <w:fldChar w:fldCharType="end"/>
      </w:r>
    </w:p>
    <w:p w14:paraId="603936A1">
      <w:pPr>
        <w:spacing w:after="44" w:line="269" w:lineRule="auto"/>
        <w:ind w:left="280" w:hanging="280"/>
      </w:pPr>
      <w:r>
        <w:rPr>
          <w:color w:val="5B6570"/>
          <w:sz w:val="17"/>
        </w:rPr>
        <w:t xml:space="preserve">[3] </w:t>
      </w:r>
      <w:r>
        <w:fldChar w:fldCharType="begin"/>
      </w:r>
      <w:r>
        <w:instrText xml:space="preserve"> HYPERLINK "https://partner.steamgames.com/doc/gettingstarted/contentsurvey" \h </w:instrText>
      </w:r>
      <w:r>
        <w:fldChar w:fldCharType="separate"/>
      </w:r>
      <w:r>
        <w:rPr>
          <w:color w:val="2D70B1"/>
          <w:sz w:val="17"/>
          <w:u w:val="single"/>
        </w:rPr>
        <w:t>Valve, “Steamworks Documentation: Content Survey”</w:t>
      </w:r>
      <w:r>
        <w:rPr>
          <w:color w:val="2D70B1"/>
          <w:sz w:val="17"/>
          <w:u w:val="single"/>
        </w:rPr>
        <w:fldChar w:fldCharType="end"/>
      </w:r>
    </w:p>
    <w:p w14:paraId="0DF1BADF">
      <w:pPr>
        <w:spacing w:after="44" w:line="269" w:lineRule="auto"/>
        <w:ind w:left="280" w:hanging="280"/>
      </w:pPr>
      <w:r>
        <w:rPr>
          <w:color w:val="5B6570"/>
          <w:sz w:val="17"/>
        </w:rPr>
        <w:t xml:space="preserve">[4] </w:t>
      </w:r>
      <w:r>
        <w:fldChar w:fldCharType="begin"/>
      </w:r>
      <w:r>
        <w:instrText xml:space="preserve"> HYPERLINK "https://openai.com/index/introducing-codex/" \h </w:instrText>
      </w:r>
      <w:r>
        <w:fldChar w:fldCharType="separate"/>
      </w:r>
      <w:r>
        <w:rPr>
          <w:color w:val="2D70B1"/>
          <w:sz w:val="17"/>
          <w:u w:val="single"/>
        </w:rPr>
        <w:t>OpenAI, “Introducing Codex”</w:t>
      </w:r>
      <w:r>
        <w:rPr>
          <w:color w:val="2D70B1"/>
          <w:sz w:val="17"/>
          <w:u w:val="single"/>
        </w:rPr>
        <w:fldChar w:fldCharType="end"/>
      </w:r>
    </w:p>
    <w:p w14:paraId="0D9AC492">
      <w:pPr>
        <w:spacing w:after="44" w:line="269" w:lineRule="auto"/>
        <w:ind w:left="280" w:hanging="280"/>
      </w:pPr>
      <w:r>
        <w:rPr>
          <w:color w:val="5B6570"/>
          <w:sz w:val="17"/>
        </w:rPr>
        <w:t xml:space="preserve">[5] </w:t>
      </w:r>
      <w:r>
        <w:fldChar w:fldCharType="begin"/>
      </w:r>
      <w:r>
        <w:instrText xml:space="preserve"> HYPERLINK "https://www.taptap.cn/moment/766434163506022717" \h </w:instrText>
      </w:r>
      <w:r>
        <w:fldChar w:fldCharType="separate"/>
      </w:r>
      <w:r>
        <w:rPr>
          <w:color w:val="2D70B1"/>
          <w:sz w:val="17"/>
          <w:u w:val="single"/>
        </w:rPr>
        <w:t>TapTap，《“TapTap 制造”重磅发布：一款让想象力直接变成游戏的 AI 智能体》</w:t>
      </w:r>
      <w:r>
        <w:rPr>
          <w:color w:val="2D70B1"/>
          <w:sz w:val="17"/>
          <w:u w:val="single"/>
        </w:rPr>
        <w:fldChar w:fldCharType="end"/>
      </w:r>
    </w:p>
    <w:p w14:paraId="0573DA6D">
      <w:pPr>
        <w:pStyle w:val="3"/>
        <w:pageBreakBefore w:val="0"/>
      </w:pPr>
    </w:p>
    <w:p w14:paraId="488F42B7">
      <w:pPr>
        <w:pStyle w:val="3"/>
        <w:pageBreakBefore w:val="0"/>
      </w:pPr>
    </w:p>
    <w:p w14:paraId="3AFF4C62">
      <w:pPr>
        <w:pStyle w:val="3"/>
        <w:pageBreakBefore w:val="0"/>
        <w:ind w:firstLine="0"/>
      </w:pPr>
    </w:p>
    <w:p w14:paraId="6F2226A3"/>
    <w:p w14:paraId="0C312FA8">
      <w:pPr>
        <w:pStyle w:val="3"/>
        <w:pageBreakBefore w:val="0"/>
        <w:ind w:firstLine="0"/>
      </w:pPr>
      <w:bookmarkStart w:id="5" w:name="_Toc236239823"/>
      <w:r>
        <w:t>第二章 研究目标与核心问题</w:t>
      </w:r>
      <w:bookmarkEnd w:id="5"/>
    </w:p>
    <w:p w14:paraId="55FDFDFF">
      <w:pPr>
        <w:pStyle w:val="4"/>
      </w:pPr>
      <w:bookmarkStart w:id="6" w:name="_Toc236239824"/>
      <w:r>
        <w:t>2.1 研究目标</w:t>
      </w:r>
      <w:bookmarkEnd w:id="6"/>
    </w:p>
    <w:p w14:paraId="0C0601CC">
      <w:pPr>
        <w:spacing w:after="100" w:line="317" w:lineRule="auto"/>
      </w:pPr>
      <w:r>
        <w:rPr>
          <w:color w:val="191919"/>
        </w:rPr>
        <w:t>本研究旨在了解大学生在游戏开发、平台创作和作品体验中希望借助 AI 解决什么问题，并考察任务推进、作品评价及后续选择受到哪些条件影响。</w:t>
      </w:r>
    </w:p>
    <w:p w14:paraId="5D7FA0A3">
      <w:pPr>
        <w:pStyle w:val="4"/>
      </w:pPr>
      <w:bookmarkStart w:id="7" w:name="_Toc236239825"/>
      <w:r>
        <w:t>2.2 核心问题</w:t>
      </w:r>
      <w:bookmarkEnd w:id="7"/>
    </w:p>
    <w:p w14:paraId="04426988">
      <w:pPr>
        <w:pStyle w:val="5"/>
      </w:pPr>
      <w:bookmarkStart w:id="8" w:name="_Toc236239826"/>
      <w:r>
        <w:t>2.2.1 生产端——专业 AI 编程工具</w:t>
      </w:r>
      <w:bookmarkEnd w:id="8"/>
    </w:p>
    <w:p w14:paraId="02D7317E">
      <w:pPr>
        <w:spacing w:after="100" w:line="317" w:lineRule="auto"/>
        <w:rPr>
          <w:lang w:eastAsia="zh-CN"/>
        </w:rPr>
      </w:pPr>
      <w:r>
        <w:rPr>
          <w:color w:val="191919"/>
        </w:rPr>
        <w:t>以 Codex 为核心代表，大学生使用专业 AI 编程工具的核心诉求是什么？这类工具在不同任务中，主要是提升已有能力的效率，还是补足自身尚不具备或不够熟练的能力？在程序工作流中，人与 AI 如何协作，哪些环节进展顺利，哪些环节容易受阻？</w:t>
      </w:r>
    </w:p>
    <w:p w14:paraId="14927343">
      <w:pPr>
        <w:pStyle w:val="5"/>
      </w:pPr>
      <w:bookmarkStart w:id="9" w:name="_Toc236239827"/>
      <w:r>
        <w:t>2.2.2 生产端——一站式 AI 游戏创作平台</w:t>
      </w:r>
      <w:bookmarkEnd w:id="9"/>
    </w:p>
    <w:p w14:paraId="515C8591">
      <w:pPr>
        <w:spacing w:after="100" w:line="317" w:lineRule="auto"/>
      </w:pPr>
      <w:r>
        <w:rPr>
          <w:color w:val="191919"/>
        </w:rPr>
        <w:t>以 TapTap 制造为核心代表，大学生使用一站式 AI 游戏创作平台的核心诉求是什么？从想法生成到可玩或发布，用户如何修改、测试并推进作品，哪些环节容易受阻？</w:t>
      </w:r>
    </w:p>
    <w:p w14:paraId="657CED4E">
      <w:pPr>
        <w:pStyle w:val="5"/>
      </w:pPr>
      <w:bookmarkStart w:id="10" w:name="_Toc236239828"/>
      <w:r>
        <w:t>2.2.3 消费端——作品体验</w:t>
      </w:r>
      <w:bookmarkEnd w:id="10"/>
    </w:p>
    <w:p w14:paraId="04A8BD2E">
      <w:pPr>
        <w:spacing w:after="100" w:line="317" w:lineRule="auto"/>
      </w:pPr>
      <w:r>
        <w:rPr>
          <w:color w:val="191919"/>
        </w:rPr>
        <w:t>大学生玩家体验 AI 参与创作的游戏时，对游戏中的 AI 使用有怎样的感受？他们是否能够感知 AI 参与、是否在意，并依据什么评价作品？哪些条件会影响他们继续游玩、关注、推荐、提供反馈或付费的意愿？</w:t>
      </w:r>
    </w:p>
    <w:p w14:paraId="586E3A24">
      <w:pPr>
        <w:pStyle w:val="4"/>
      </w:pPr>
      <w:bookmarkStart w:id="11" w:name="_Toc236239829"/>
      <w:r>
        <w:t>2.3 研究对象与主要证据</w:t>
      </w:r>
      <w:bookmarkEnd w:id="11"/>
    </w:p>
    <w:tbl>
      <w:tblPr>
        <w:tblStyle w:val="35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5200"/>
        <w:gridCol w:w="2384"/>
      </w:tblGrid>
      <w:tr w14:paraId="7D82C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00" w:type="dxa"/>
            <w:shd w:val="clear" w:color="auto" w:fill="DCE9F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7B96C45">
            <w:pPr>
              <w:spacing w:after="0" w:line="240" w:lineRule="auto"/>
              <w:ind w:firstLine="0"/>
              <w:jc w:val="center"/>
            </w:pPr>
            <w:r>
              <w:rPr>
                <w:rFonts w:cs="宋体"/>
                <w:b/>
                <w:bCs/>
                <w:color w:val="1F4E79"/>
                <w:sz w:val="18"/>
                <w:szCs w:val="24"/>
                <w:lang w:eastAsia="zh-CN" w:bidi="ar"/>
              </w:rPr>
              <w:t>研究方向</w:t>
            </w:r>
          </w:p>
        </w:tc>
        <w:tc>
          <w:tcPr>
            <w:tcW w:w="5200" w:type="dxa"/>
            <w:shd w:val="clear" w:color="auto" w:fill="DCE9F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F7B49D7">
            <w:pPr>
              <w:spacing w:after="0" w:line="240" w:lineRule="auto"/>
              <w:ind w:firstLine="0"/>
              <w:jc w:val="center"/>
            </w:pPr>
            <w:r>
              <w:rPr>
                <w:b/>
                <w:color w:val="1F4E79"/>
                <w:sz w:val="18"/>
              </w:rPr>
              <w:t>研究范围与结论边界</w:t>
            </w:r>
          </w:p>
        </w:tc>
        <w:tc>
          <w:tcPr>
            <w:tcW w:w="2384" w:type="dxa"/>
            <w:shd w:val="clear" w:color="auto" w:fill="DCE9F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7CC8E79">
            <w:pPr>
              <w:spacing w:after="0" w:line="240" w:lineRule="auto"/>
              <w:ind w:firstLine="0"/>
              <w:jc w:val="center"/>
            </w:pPr>
            <w:r>
              <w:rPr>
                <w:rFonts w:cs="宋体"/>
                <w:b/>
                <w:bCs/>
                <w:color w:val="1F4E79"/>
                <w:sz w:val="18"/>
                <w:szCs w:val="24"/>
                <w:lang w:eastAsia="zh-CN" w:bidi="ar"/>
              </w:rPr>
              <w:t>主要数据来源</w:t>
            </w:r>
          </w:p>
        </w:tc>
      </w:tr>
      <w:tr w14:paraId="0B889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00" w:type="dxa"/>
            <w:shd w:val="clear" w:color="auto" w:fill="FFFFF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C60FD50">
            <w:pPr>
              <w:spacing w:after="0" w:line="240" w:lineRule="auto"/>
              <w:ind w:firstLine="0"/>
              <w:jc w:val="center"/>
            </w:pPr>
            <w:r>
              <w:rPr>
                <w:rFonts w:cs="宋体"/>
                <w:color w:val="1E1E1E"/>
                <w:sz w:val="18"/>
                <w:szCs w:val="24"/>
                <w:lang w:eastAsia="zh-CN" w:bidi="ar"/>
              </w:rPr>
              <w:t>生产端：专业 AI 工具</w:t>
            </w:r>
          </w:p>
        </w:tc>
        <w:tc>
          <w:tcPr>
            <w:tcW w:w="5200" w:type="dxa"/>
            <w:shd w:val="clear" w:color="auto" w:fill="FFFFF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FE2B75C">
            <w:pPr>
              <w:spacing w:after="0" w:line="240" w:lineRule="auto"/>
              <w:ind w:firstLine="0"/>
              <w:jc w:val="left"/>
            </w:pPr>
            <w:r>
              <w:rPr>
                <w:rFonts w:cs="宋体"/>
                <w:color w:val="1E1E1E"/>
                <w:sz w:val="18"/>
                <w:szCs w:val="24"/>
                <w:lang w:eastAsia="zh-CN" w:bidi="ar"/>
              </w:rPr>
              <w:t>聚焦专业 AI 工具中的程序开发路径，以 Codex 为核心代表，并以具有 Codex 使用经历的大学生为核心样本；其他程序开发工具的使用材料仅用于补充不同工具下的实际做法</w:t>
            </w:r>
          </w:p>
        </w:tc>
        <w:tc>
          <w:tcPr>
            <w:tcW w:w="2384" w:type="dxa"/>
            <w:shd w:val="clear" w:color="auto" w:fill="FFFFF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7A12155">
            <w:pPr>
              <w:spacing w:after="0" w:line="240" w:lineRule="auto"/>
              <w:ind w:firstLine="0"/>
              <w:jc w:val="left"/>
            </w:pPr>
            <w:r>
              <w:rPr>
                <w:rFonts w:cs="宋体"/>
                <w:color w:val="1E1E1E"/>
                <w:sz w:val="18"/>
                <w:szCs w:val="24"/>
                <w:lang w:eastAsia="zh-CN" w:bidi="ar"/>
              </w:rPr>
              <w:t>专业工具相关问卷数据与开发者访谈</w:t>
            </w:r>
          </w:p>
        </w:tc>
      </w:tr>
      <w:tr w14:paraId="2CA8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00" w:type="dxa"/>
            <w:shd w:val="clear" w:color="auto" w:fill="F6F8F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2F0BC00">
            <w:pPr>
              <w:spacing w:after="0" w:line="240" w:lineRule="auto"/>
              <w:ind w:firstLine="0"/>
              <w:jc w:val="center"/>
            </w:pPr>
            <w:r>
              <w:rPr>
                <w:rFonts w:cs="宋体"/>
                <w:color w:val="1E1E1E"/>
                <w:sz w:val="18"/>
                <w:szCs w:val="24"/>
                <w:lang w:eastAsia="zh-CN" w:bidi="ar"/>
              </w:rPr>
              <w:t>生产端：一站式创作平台</w:t>
            </w:r>
          </w:p>
        </w:tc>
        <w:tc>
          <w:tcPr>
            <w:tcW w:w="5200" w:type="dxa"/>
            <w:shd w:val="clear" w:color="auto" w:fill="F6F8F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8690339">
            <w:pPr>
              <w:spacing w:after="0" w:line="240" w:lineRule="auto"/>
              <w:ind w:firstLine="0"/>
              <w:jc w:val="left"/>
            </w:pPr>
            <w:r>
              <w:rPr>
                <w:rFonts w:cs="宋体"/>
                <w:color w:val="1E1E1E"/>
                <w:sz w:val="18"/>
                <w:szCs w:val="24"/>
                <w:lang w:eastAsia="zh-CN" w:bidi="ar"/>
              </w:rPr>
              <w:t>聚焦从自然语言生成创意到形成可玩、可继续修改或可发布作品的过程，以 TapTap 制造为核心代表；其他平台材料用于补充行业背景和不同产品的做法</w:t>
            </w:r>
          </w:p>
        </w:tc>
        <w:tc>
          <w:tcPr>
            <w:tcW w:w="2384" w:type="dxa"/>
            <w:shd w:val="clear" w:color="auto" w:fill="F6F8F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FAD7687">
            <w:pPr>
              <w:spacing w:after="0" w:line="240" w:lineRule="auto"/>
              <w:ind w:firstLine="0"/>
              <w:jc w:val="center"/>
            </w:pPr>
            <w:r>
              <w:rPr>
                <w:color w:val="1E1E1E"/>
                <w:sz w:val="18"/>
              </w:rPr>
              <w:t>相关问卷数据与开放回答</w:t>
            </w:r>
          </w:p>
        </w:tc>
      </w:tr>
      <w:tr w14:paraId="7A16A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00" w:type="dxa"/>
            <w:shd w:val="clear" w:color="auto" w:fill="FFFFF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647331F">
            <w:pPr>
              <w:spacing w:after="0" w:line="240" w:lineRule="auto"/>
              <w:ind w:firstLine="0"/>
              <w:jc w:val="left"/>
            </w:pPr>
            <w:r>
              <w:rPr>
                <w:rFonts w:cs="宋体"/>
                <w:color w:val="1E1E1E"/>
                <w:sz w:val="18"/>
                <w:szCs w:val="24"/>
                <w:lang w:eastAsia="zh-CN" w:bidi="ar"/>
              </w:rPr>
              <w:t>消费端：AI 参与作品体验</w:t>
            </w:r>
          </w:p>
        </w:tc>
        <w:tc>
          <w:tcPr>
            <w:tcW w:w="5200" w:type="dxa"/>
            <w:shd w:val="clear" w:color="auto" w:fill="FFFFF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48107C0">
            <w:pPr>
              <w:spacing w:after="0" w:line="240" w:lineRule="auto"/>
              <w:ind w:firstLine="0"/>
              <w:jc w:val="left"/>
            </w:pPr>
            <w:r>
              <w:rPr>
                <w:rFonts w:cs="宋体"/>
                <w:color w:val="1E1E1E"/>
                <w:sz w:val="18"/>
                <w:szCs w:val="24"/>
                <w:lang w:eastAsia="zh-CN" w:bidi="ar"/>
              </w:rPr>
              <w:t>聚焦大学生玩家对 AI 参与游戏作品的实际体验，考察其主观感知、态度和作品评价，不将玩家的主观判断理解为对 AI 参与情况的准确识别</w:t>
            </w:r>
          </w:p>
        </w:tc>
        <w:tc>
          <w:tcPr>
            <w:tcW w:w="2384" w:type="dxa"/>
            <w:shd w:val="clear" w:color="auto" w:fill="FFFFF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5132245">
            <w:pPr>
              <w:spacing w:after="0" w:line="240" w:lineRule="auto"/>
              <w:ind w:firstLine="0"/>
              <w:jc w:val="left"/>
            </w:pPr>
            <w:r>
              <w:rPr>
                <w:rFonts w:cs="宋体"/>
                <w:color w:val="1E1E1E"/>
                <w:sz w:val="18"/>
                <w:szCs w:val="24"/>
                <w:lang w:eastAsia="zh-CN" w:bidi="ar"/>
              </w:rPr>
              <w:t>消费端问卷数据、作品体验记录与相关访谈</w:t>
            </w:r>
          </w:p>
        </w:tc>
      </w:tr>
    </w:tbl>
    <w:p w14:paraId="51738EA5">
      <w:pPr>
        <w:keepNext/>
        <w:spacing w:after="0" w:line="240" w:lineRule="auto"/>
      </w:pPr>
    </w:p>
    <w:p w14:paraId="593421FD">
      <w:pPr>
        <w:pStyle w:val="3"/>
      </w:pPr>
      <w:bookmarkStart w:id="12" w:name="_Toc236239830"/>
      <w:r>
        <w:t>第三章 研究材料与样本</w:t>
      </w:r>
      <w:bookmarkEnd w:id="12"/>
    </w:p>
    <w:p w14:paraId="4008BCC7">
      <w:r>
        <w:t>本报告的实证分析主要依据问卷、开放回答和5名大学生的深度访谈。问卷共导出117份记录，排除1份题目结构不兼容的历史记录和1份完全重复的提交后，保留115份可用记录。其中69份来自大学生，作为本报告的主要定量样本。</w:t>
      </w:r>
    </w:p>
    <w:tbl>
      <w:tblPr>
        <w:tblStyle w:val="35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900"/>
        <w:gridCol w:w="5584"/>
      </w:tblGrid>
      <w:tr w14:paraId="05BA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700" w:type="dxa"/>
            <w:shd w:val="clear" w:color="auto" w:fill="DCE9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3EFE47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样本</w:t>
            </w:r>
          </w:p>
        </w:tc>
        <w:tc>
          <w:tcPr>
            <w:tcW w:w="900" w:type="dxa"/>
            <w:shd w:val="clear" w:color="auto" w:fill="DCE9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ADB76B">
            <w:pPr>
              <w:spacing w:after="0" w:line="240" w:lineRule="auto"/>
              <w:ind w:firstLine="0"/>
            </w:pPr>
            <w:r>
              <w:rPr>
                <w:b/>
                <w:color w:val="1F4E79"/>
                <w:sz w:val="18"/>
              </w:rPr>
              <w:t>人数</w:t>
            </w:r>
          </w:p>
        </w:tc>
        <w:tc>
          <w:tcPr>
            <w:tcW w:w="5584" w:type="dxa"/>
            <w:shd w:val="clear" w:color="auto" w:fill="DCE9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62649B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8"/>
              </w:rPr>
              <w:t>对应内容</w:t>
            </w:r>
          </w:p>
        </w:tc>
      </w:tr>
      <w:tr w14:paraId="4DB26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578CB6">
            <w:pPr>
              <w:spacing w:after="0" w:line="240" w:lineRule="auto"/>
              <w:jc w:val="center"/>
            </w:pPr>
            <w:r>
              <w:rPr>
                <w:sz w:val="18"/>
              </w:rPr>
              <w:t>大学生问卷样本</w:t>
            </w:r>
          </w:p>
        </w:tc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BE12CF">
            <w:pPr>
              <w:spacing w:after="0" w:line="240" w:lineRule="auto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558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4703B">
            <w:pPr>
              <w:spacing w:after="0" w:line="240" w:lineRule="auto"/>
              <w:jc w:val="center"/>
            </w:pPr>
            <w:r>
              <w:rPr>
                <w:sz w:val="18"/>
              </w:rPr>
              <w:t>本报告的主要定量样本</w:t>
            </w:r>
          </w:p>
        </w:tc>
      </w:tr>
      <w:tr w14:paraId="2A19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0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951D3A">
            <w:pPr>
              <w:spacing w:after="0" w:line="240" w:lineRule="auto"/>
              <w:jc w:val="center"/>
            </w:pPr>
            <w:r>
              <w:rPr>
                <w:sz w:val="18"/>
              </w:rPr>
              <w:t>Codex主要使用者</w:t>
            </w:r>
          </w:p>
        </w:tc>
        <w:tc>
          <w:tcPr>
            <w:tcW w:w="90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8F2C44">
            <w:pPr>
              <w:spacing w:after="0" w:line="240" w:lineRule="auto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5584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A1D94A">
            <w:pPr>
              <w:spacing w:after="0" w:line="240" w:lineRule="auto"/>
              <w:jc w:val="left"/>
            </w:pPr>
            <w:r>
              <w:rPr>
                <w:sz w:val="18"/>
              </w:rPr>
              <w:t>主要使用Codex并完成相关问题，用于第四章</w:t>
            </w:r>
          </w:p>
        </w:tc>
      </w:tr>
      <w:tr w14:paraId="0A5E3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73790D">
            <w:pPr>
              <w:spacing w:after="0" w:line="240" w:lineRule="auto"/>
              <w:jc w:val="center"/>
            </w:pPr>
            <w:r>
              <w:rPr>
                <w:sz w:val="18"/>
              </w:rPr>
              <w:t>一站式平台创作样本</w:t>
            </w:r>
          </w:p>
        </w:tc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F7B9D8">
            <w:pPr>
              <w:spacing w:after="0" w:line="240" w:lineRule="auto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558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1704E">
            <w:pPr>
              <w:spacing w:after="0" w:line="240" w:lineRule="auto"/>
              <w:jc w:val="left"/>
            </w:pPr>
            <w:r>
              <w:rPr>
                <w:sz w:val="18"/>
              </w:rPr>
              <w:t>经使用记录复核后纳入，用于第五章</w:t>
            </w:r>
          </w:p>
        </w:tc>
      </w:tr>
      <w:tr w14:paraId="47C09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0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383E87">
            <w:pPr>
              <w:spacing w:after="0" w:line="240" w:lineRule="auto"/>
              <w:jc w:val="center"/>
            </w:pPr>
            <w:r>
              <w:rPr>
                <w:sz w:val="18"/>
              </w:rPr>
              <w:t>相关作品实际体验者</w:t>
            </w:r>
          </w:p>
        </w:tc>
        <w:tc>
          <w:tcPr>
            <w:tcW w:w="90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C39E40">
            <w:pPr>
              <w:spacing w:after="0" w:line="240" w:lineRule="auto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5584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9AFBF5">
            <w:pPr>
              <w:spacing w:after="0" w:line="240" w:lineRule="auto"/>
              <w:jc w:val="left"/>
            </w:pPr>
            <w:r>
              <w:rPr>
                <w:sz w:val="18"/>
              </w:rPr>
              <w:t>经作品与体验记录复核后纳入，用于第六章</w:t>
            </w:r>
          </w:p>
        </w:tc>
      </w:tr>
      <w:tr w14:paraId="39756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B2CB02">
            <w:pPr>
              <w:spacing w:after="0" w:line="240" w:lineRule="auto"/>
              <w:jc w:val="center"/>
            </w:pPr>
            <w:r>
              <w:rPr>
                <w:sz w:val="18"/>
              </w:rPr>
              <w:t>深度访谈对象</w:t>
            </w:r>
          </w:p>
        </w:tc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22F4B4">
            <w:pPr>
              <w:spacing w:after="0" w:line="240" w:lineRule="auto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558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12633A">
            <w:pPr>
              <w:spacing w:after="0" w:line="240" w:lineRule="auto"/>
              <w:jc w:val="left"/>
            </w:pPr>
            <w:r>
              <w:rPr>
                <w:sz w:val="18"/>
              </w:rPr>
              <w:t>补充程序开发和作品体验中的具体过程与原因</w:t>
            </w:r>
          </w:p>
        </w:tc>
      </w:tr>
    </w:tbl>
    <w:p w14:paraId="67EF4864">
      <w:pPr>
        <w:spacing w:before="160"/>
      </w:pPr>
      <w:r>
        <w:t>15人、6人和6人分别依据不同的使用或体验经历形成。其中，一站式平台创作样本包含TapTap制造及其他平台的使用记录，并非全部来自TapTap制造。因此，第五章以TapTap制造为核心案例，但问卷结果用于观察一站式平台创作中的共同情况，不作为TapTap制造的产品专属结论。目前访谈也尚未覆盖一站式平台创作者。</w:t>
      </w:r>
    </w:p>
    <w:p w14:paraId="61B90D13">
      <w:pPr>
        <w:spacing w:before="80"/>
      </w:pPr>
      <w:r>
        <w:t>由于两个核心分组均只有6人，后文只呈现具体人数、回答差异和实际案例，不使用百分比推断更大范围的大学生群体。</w:t>
      </w:r>
    </w:p>
    <w:p w14:paraId="13378F8F">
      <w:pPr>
        <w:pStyle w:val="3"/>
      </w:pPr>
      <w:bookmarkStart w:id="13" w:name="_Toc236239831"/>
      <w:r>
        <w:rPr>
          <w:rFonts w:hint="eastAsia" w:ascii="微软雅黑" w:hAnsi="微软雅黑" w:eastAsia="微软雅黑" w:cs="微软雅黑"/>
        </w:rPr>
        <w:t>第四章</w:t>
      </w:r>
      <w:r>
        <w:rPr>
          <w:rFonts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</w:rPr>
        <w:t>生产端发现：以Codex为代表的大学生游戏程序构建实践</w:t>
      </w:r>
      <w:bookmarkEnd w:id="13"/>
    </w:p>
    <w:p w14:paraId="558B2BE0">
      <w:pPr>
        <w:pStyle w:val="178"/>
      </w:pPr>
      <w:r>
        <w:rPr>
          <w:rFonts w:ascii="微软雅黑" w:hAnsi="微软雅黑" w:cs="微软雅黑"/>
        </w:rPr>
        <w:t>本章发现，Codex最集中的作用评价是提高开发速度和减少重复劳动。程序协作经过任务设定、代码生成或修改、运行检查、反馈调整和项目接入。三个案例中的开发者分别设置任务范围，并通过运行、逻辑检查或试玩验收结果。</w:t>
      </w:r>
    </w:p>
    <w:p w14:paraId="571F22CA">
      <w:pPr>
        <w:pStyle w:val="19"/>
      </w:pPr>
      <w:r>
        <w:t>本章材料包括15名大学生用户的问卷回答和开发者A、B、C三份深度访谈，并以6名已毕业用户作为对照。</w:t>
      </w:r>
    </w:p>
    <w:p w14:paraId="6086873B">
      <w:pPr>
        <w:pStyle w:val="4"/>
      </w:pPr>
      <w:bookmarkStart w:id="14" w:name="_Toc236239832"/>
      <w:r>
        <w:rPr>
          <w:rFonts w:ascii="微软雅黑" w:hAnsi="微软雅黑" w:eastAsia="微软雅黑" w:cs="微软雅黑"/>
        </w:rPr>
        <w:t xml:space="preserve">4.1 </w:t>
      </w:r>
      <w:r>
        <w:rPr>
          <w:rFonts w:hint="eastAsia" w:ascii="微软雅黑" w:hAnsi="微软雅黑" w:eastAsia="微软雅黑" w:cs="微软雅黑"/>
        </w:rPr>
        <w:t>问卷发现：AI编程工具参与下的大学生游戏程序构建</w:t>
      </w:r>
      <w:bookmarkEnd w:id="14"/>
    </w:p>
    <w:p w14:paraId="23FED932">
      <w:pPr>
        <w:pStyle w:val="5"/>
      </w:pPr>
      <w:bookmarkStart w:id="15" w:name="_Toc236239833"/>
      <w:r>
        <w:rPr>
          <w:rFonts w:ascii="微软雅黑" w:hAnsi="微软雅黑" w:eastAsia="微软雅黑" w:cs="微软雅黑"/>
        </w:rPr>
        <w:t xml:space="preserve">4.1.1 </w:t>
      </w:r>
      <w:r>
        <w:rPr>
          <w:rFonts w:hint="eastAsia" w:ascii="微软雅黑" w:hAnsi="微软雅黑" w:eastAsia="微软雅黑" w:cs="微软雅黑"/>
        </w:rPr>
        <w:t>核心样本及其项目情境</w:t>
      </w:r>
      <w:bookmarkEnd w:id="15"/>
    </w:p>
    <w:p w14:paraId="02DF2930">
      <w:pPr>
        <w:pStyle w:val="178"/>
      </w:pPr>
      <w:r>
        <w:t>69份大学生有效问卷中，50名进入程序能力与项目题，36名完成专业AI编程工具深答，其中15名以Codex为主要工具并完整回答程序协作问题。以下人数和比例均以15人为分母。</w:t>
      </w:r>
    </w:p>
    <w:p w14:paraId="463BB7A1">
      <w:pPr>
        <w:pStyle w:val="19"/>
      </w:pPr>
      <w:r>
        <w:rPr>
          <w:rFonts w:ascii="微软雅黑" w:hAnsi="微软雅黑" w:cs="微软雅黑"/>
        </w:rPr>
        <w:t>其中12人（80.0%）提供了游戏或互动开发背景，使用Unity、Godot或Unreal Engine。相关项目包括48小时限时开发、比赛演示项目、个人长期项目、团队项目和白盒原型，覆盖短期交付与长期维护情境。</w:t>
      </w:r>
    </w:p>
    <w:p w14:paraId="7C00873C">
      <w:pPr>
        <w:pStyle w:val="5"/>
      </w:pPr>
      <w:bookmarkStart w:id="16" w:name="_Toc236239834"/>
      <w:r>
        <w:rPr>
          <w:rFonts w:ascii="微软雅黑" w:hAnsi="微软雅黑" w:eastAsia="微软雅黑" w:cs="微软雅黑"/>
        </w:rPr>
        <w:t>4.1.2 程序基础与当前任务完成能力</w:t>
      </w:r>
      <w:bookmarkEnd w:id="16"/>
    </w:p>
    <w:p w14:paraId="3B510148">
      <w:pPr>
        <w:pStyle w:val="178"/>
      </w:pPr>
      <w:r>
        <w:rPr>
          <w:rFonts w:ascii="微软雅黑" w:hAnsi="微软雅黑" w:cs="微软雅黑"/>
        </w:rPr>
        <w:t>15名用户覆盖基础课程学习、小功能编写、独立模块开发和成熟项目经验等程序能力层级。11人（73.3%）认为自己至少能够独立完成小游戏或程序模块，4人处于基础课程学习或小功能编写阶段。</w:t>
      </w:r>
    </w:p>
    <w:p w14:paraId="2DAB03FE">
      <w:pPr>
        <w:pStyle w:val="19"/>
      </w:pPr>
      <w:r>
        <w:rPr>
          <w:rFonts w:ascii="微软雅黑" w:hAnsi="微软雅黑" w:cs="微软雅黑"/>
        </w:rPr>
        <w:t>当前任务完成能力方面，3人（20.0%）选择基本完成档，5人（33.3%）选择效率或质量受限档，7人（46.7%）选择完成程度较低的两档。</w:t>
      </w:r>
    </w:p>
    <w:p w14:paraId="14C50323">
      <w:pPr>
        <w:keepNext/>
        <w:spacing w:before="120" w:after="40"/>
        <w:jc w:val="center"/>
      </w:pPr>
      <w:r>
        <w:drawing>
          <wp:inline distT="0" distB="0" distL="0" distR="0">
            <wp:extent cx="5579745" cy="3149600"/>
            <wp:effectExtent l="0" t="0" r="8255" b="0"/>
            <wp:docPr id="1" name="图4-1" descr="第四章核心样本的程序基础与不使用AI时完成当前任务的能力分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4-1" descr="第四章核心样本的程序基础与不使用AI时完成当前任务的能力分布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23B7">
      <w:pPr>
        <w:pStyle w:val="173"/>
        <w:keepNext w:val="0"/>
        <w:keepLines/>
      </w:pPr>
      <w:r>
        <w:t>图4-1　大学生核心样本的程序基础与当前任务完成能力（N=15）</w:t>
      </w:r>
    </w:p>
    <w:p w14:paraId="1D6500B2">
      <w:pPr>
        <w:pStyle w:val="19"/>
      </w:pPr>
      <w:r>
        <w:t>在10名认为自己能够独立完成小游戏或程序模块的用户中，4人在当前任务完成能力题中选择最低两档。5名代码质量低评价者中，4人具备独立模块开发经验，4人选择当前任务完成能力最低两档；中间评价组和高评价组分别为2人和1人。代码质量低评价也出现在具备独立模块开发经验的用户中，并较多集中于当前任务完成自评较低者。</w:t>
      </w:r>
    </w:p>
    <w:p w14:paraId="46D85EA4">
      <w:pPr>
        <w:pStyle w:val="5"/>
      </w:pPr>
      <w:bookmarkStart w:id="17" w:name="_Toc236239835"/>
      <w:r>
        <w:rPr>
          <w:rFonts w:ascii="微软雅黑" w:hAnsi="微软雅黑" w:eastAsia="微软雅黑" w:cs="微软雅黑"/>
        </w:rPr>
        <w:t xml:space="preserve">4.1.3 </w:t>
      </w:r>
      <w:r>
        <w:rPr>
          <w:rFonts w:hint="eastAsia" w:ascii="微软雅黑" w:hAnsi="微软雅黑" w:eastAsia="微软雅黑" w:cs="微软雅黑"/>
        </w:rPr>
        <w:t>AI工具进入的任务环节与实际作用</w:t>
      </w:r>
      <w:bookmarkEnd w:id="17"/>
    </w:p>
    <w:p w14:paraId="75B39955">
      <w:pPr>
        <w:pStyle w:val="6"/>
      </w:pPr>
      <w:r>
        <w:rPr>
          <w:rFonts w:hint="eastAsia" w:ascii="微软雅黑" w:hAnsi="微软雅黑" w:eastAsia="微软雅黑" w:cs="微软雅黑"/>
        </w:rPr>
        <w:t>（1）从需求拆解延伸至已有项目修改</w:t>
      </w:r>
    </w:p>
    <w:p w14:paraId="060E5754">
      <w:pPr>
        <w:pStyle w:val="178"/>
      </w:pPr>
      <w:r>
        <w:rPr>
          <w:rFonts w:ascii="微软雅黑" w:hAnsi="微软雅黑" w:cs="微软雅黑"/>
        </w:rPr>
        <w:t>Codex主要进入需求拆解、代码生成、已有代码修改和调试等程序任务。15名用户中，13人（86.7%）用于代码生成，12人（80.0%）用于需求拆解，11人（73.3%）用于修改已有代码，10人（66.7%）用于调试程序错误。</w:t>
      </w:r>
    </w:p>
    <w:p w14:paraId="6F38F852">
      <w:pPr>
        <w:pStyle w:val="19"/>
      </w:pPr>
      <w:r>
        <w:rPr>
          <w:rFonts w:ascii="微软雅黑" w:hAnsi="微软雅黑" w:cs="微软雅黑"/>
        </w:rPr>
        <w:t>项目阶段方面，核心功能开发为11人（73.3%），早期原型和性能或结构优化均为9人（60.0%），关卡或玩法迭代为8人（53.3%）。Codex的使用范围从早期原型延伸到核心功能、玩法迭代和结构优化。</w:t>
      </w:r>
    </w:p>
    <w:p w14:paraId="779B5493">
      <w:pPr>
        <w:keepNext/>
        <w:spacing w:before="120" w:after="40"/>
        <w:jc w:val="center"/>
      </w:pPr>
      <w:r>
        <w:drawing>
          <wp:inline distT="0" distB="0" distL="0" distR="0">
            <wp:extent cx="5579745" cy="4871720"/>
            <wp:effectExtent l="0" t="0" r="8255" b="5080"/>
            <wp:docPr id="2" name="图4-2" descr="Codex参与的程序任务和项目阶段横向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4-2" descr="Codex参与的程序任务和项目阶段横向条形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4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89619">
      <w:pPr>
        <w:pStyle w:val="173"/>
        <w:keepNext w:val="0"/>
        <w:keepLines/>
      </w:pPr>
      <w:r>
        <w:t>图4-2　Codex进入的程序任务与项目阶段（N=15，多选）</w:t>
      </w:r>
    </w:p>
    <w:p w14:paraId="6D72F8F3">
      <w:pPr>
        <w:pStyle w:val="19"/>
      </w:pPr>
      <w:r>
        <w:rPr>
          <w:rFonts w:hint="eastAsia" w:ascii="微软雅黑" w:hAnsi="微软雅黑" w:cs="微软雅黑"/>
        </w:rPr>
        <w:t>注：该题为多选题，各项占比之和超过100%。</w:t>
      </w:r>
    </w:p>
    <w:p w14:paraId="6EC56122">
      <w:pPr>
        <w:pStyle w:val="19"/>
      </w:pPr>
      <w:r>
        <w:rPr>
          <w:rFonts w:ascii="微软雅黑" w:hAnsi="微软雅黑" w:cs="微软雅黑"/>
        </w:rPr>
        <w:t>样本dc9ec0cc在长期项目的地图编辑器中增加关卡编辑功能，过程如下：</w:t>
      </w:r>
    </w:p>
    <w:p w14:paraId="252C540F">
      <w:pPr>
        <w:pStyle w:val="179"/>
      </w:pPr>
      <w:r>
        <w:rPr>
          <w:rFonts w:ascii="微软雅黑" w:hAnsi="微软雅黑" w:cs="微软雅黑"/>
        </w:rPr>
        <w:t>“就比如我要给原本的地图编辑器加上一个新的关卡编辑器，我使用Codex，先让他只理解当前的架构并限制它过度设计，然后给出不同的相应方案，选择更改到我满意方案，最后让它直接修改，最后我自己测试能够在当前项目里运行并无Bug即可。”</w:t>
      </w:r>
      <w:r>
        <w:rPr>
          <w:rFonts w:ascii="微软雅黑" w:hAnsi="微软雅黑" w:cs="微软雅黑"/>
        </w:rPr>
        <w:br w:type="textWrapping"/>
      </w:r>
      <w:r>
        <w:rPr>
          <w:rFonts w:ascii="微软雅黑" w:hAnsi="微软雅黑" w:cs="微软雅黑"/>
        </w:rPr>
        <w:t>——大学生问卷开放回答，样本dc9ec0cc</w:t>
      </w:r>
    </w:p>
    <w:p w14:paraId="30A17CEC">
      <w:pPr>
        <w:pStyle w:val="178"/>
      </w:pPr>
      <w:r>
        <w:t>该用户先限定架构范围，再要求Codex提出方案和修改代码，最后通过运行测试验收结果。</w:t>
      </w:r>
    </w:p>
    <w:p w14:paraId="3E42296D">
      <w:pPr>
        <w:pStyle w:val="6"/>
      </w:pPr>
      <w:r>
        <w:rPr>
          <w:rFonts w:hint="eastAsia" w:ascii="微软雅黑" w:hAnsi="微软雅黑" w:eastAsia="微软雅黑" w:cs="微软雅黑"/>
        </w:rPr>
        <w:t>（2）提速评价集中，能力补足获得较高评价，代码质量评价分化</w:t>
      </w:r>
    </w:p>
    <w:p w14:paraId="0B3BFD36">
      <w:pPr>
        <w:pStyle w:val="178"/>
      </w:pPr>
      <w:r>
        <w:rPr>
          <w:rFonts w:ascii="微软雅黑" w:hAnsi="微软雅黑" w:cs="微软雅黑"/>
        </w:rPr>
        <w:t>提高开发速度和减少重复劳动是评价最集中的两项作用，两项均有14人（93.3%）给出4—5分；能力补足有11人（73.3%）给出4—5分。</w:t>
      </w:r>
    </w:p>
    <w:p w14:paraId="176DC674">
      <w:pPr>
        <w:pStyle w:val="19"/>
      </w:pPr>
      <w:r>
        <w:rPr>
          <w:rFonts w:ascii="微软雅黑" w:hAnsi="微软雅黑" w:cs="微软雅黑"/>
        </w:rPr>
        <w:t>样本8604f26f在暂时没有具体实现思路时，先使用Codex形成原型：</w:t>
      </w:r>
    </w:p>
    <w:p w14:paraId="69630EB4">
      <w:pPr>
        <w:pStyle w:val="179"/>
      </w:pPr>
      <w:r>
        <w:rPr>
          <w:rFonts w:ascii="微软雅黑" w:hAnsi="微软雅黑" w:cs="微软雅黑"/>
        </w:rPr>
        <w:t>“实现某类暂时没有具体实现思路的需求，先把需求给AI写出原型，验证产出内容与需求无偏差后，会自己或AI辅助阅读源码理解逻辑链路，并向AI提出修改意见。”</w:t>
      </w:r>
      <w:r>
        <w:rPr>
          <w:rFonts w:ascii="微软雅黑" w:hAnsi="微软雅黑" w:cs="微软雅黑"/>
        </w:rPr>
        <w:br w:type="textWrapping"/>
      </w:r>
      <w:r>
        <w:rPr>
          <w:rFonts w:ascii="微软雅黑" w:hAnsi="微软雅黑" w:cs="微软雅黑"/>
        </w:rPr>
        <w:t>——大学生问卷开放回答，样本8604f26f</w:t>
      </w:r>
    </w:p>
    <w:p w14:paraId="183802EF">
      <w:pPr>
        <w:pStyle w:val="178"/>
      </w:pPr>
      <w:r>
        <w:rPr>
          <w:rFonts w:ascii="微软雅黑" w:hAnsi="微软雅黑" w:cs="微软雅黑"/>
        </w:rPr>
        <w:t>面对暂时没有具体实现思路的需求，该用户先形成原型，再验证结果、阅读源码并提出修改意见。</w:t>
      </w:r>
    </w:p>
    <w:p w14:paraId="37D541BF">
      <w:pPr>
        <w:pStyle w:val="19"/>
      </w:pPr>
      <w:r>
        <w:rPr>
          <w:rFonts w:ascii="微软雅黑" w:hAnsi="微软雅黑" w:cs="微软雅黑"/>
        </w:rPr>
        <w:t>用户对代码质量的评价分化：5人（33.3%）选择4—5分，5人（33.3%）选择3分，5人（33.3%）选择1—2分。</w:t>
      </w:r>
    </w:p>
    <w:p w14:paraId="0B481BB3">
      <w:pPr>
        <w:keepNext/>
        <w:spacing w:before="120" w:after="40"/>
        <w:jc w:val="center"/>
      </w:pPr>
      <w:r>
        <w:drawing>
          <wp:inline distT="0" distB="0" distL="0" distR="0">
            <wp:extent cx="5579745" cy="2240915"/>
            <wp:effectExtent l="0" t="0" r="8255" b="6985"/>
            <wp:docPr id="3" name="图4-3" descr="大学生用户对Codex六项作用的分档评价堆叠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4-3" descr="大学生用户对Codex六项作用的分档评价堆叠条形图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2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574D">
      <w:pPr>
        <w:pStyle w:val="173"/>
        <w:keepNext w:val="0"/>
        <w:keepLines/>
      </w:pPr>
      <w:r>
        <w:t>图4-3　大学生用户对Codex主要作用的评价（N=15）</w:t>
      </w:r>
    </w:p>
    <w:p w14:paraId="1331046F">
      <w:pPr>
        <w:pStyle w:val="19"/>
        <w:rPr>
          <w:rFonts w:hint="eastAsia" w:ascii="微软雅黑" w:hAnsi="微软雅黑" w:cs="微软雅黑"/>
        </w:rPr>
      </w:pPr>
      <w:r>
        <w:t>5名代码质量低评价者均对提高开发速度给出4—5分，4人对减少重复劳动给出4—5分，4人的Codex产出仍有大部分进入项目。代码质量提升评价较低与速度认可、持续使用和项目接入同时出现。</w:t>
      </w:r>
    </w:p>
    <w:p w14:paraId="5A83D989">
      <w:pPr>
        <w:pStyle w:val="19"/>
      </w:pPr>
      <w:r>
        <w:rPr>
          <w:rFonts w:hint="eastAsia" w:ascii="微软雅黑" w:hAnsi="微软雅黑" w:cs="微软雅黑"/>
        </w:rPr>
        <w:t>开放回答呈现了不同评价对应的具体结果。样本8c9a9315使用Codex实现小地图，并继续调整位置、背景和方向指引：</w:t>
      </w:r>
    </w:p>
    <w:p w14:paraId="0F3D33FD">
      <w:pPr>
        <w:pStyle w:val="179"/>
      </w:pPr>
      <w:r>
        <w:rPr>
          <w:rFonts w:ascii="微软雅黑" w:hAnsi="微软雅黑" w:cs="微软雅黑"/>
        </w:rPr>
        <w:t>“我要做小地图，使用Codex，AI给出了一个简略地图，我修改了地图位置、地图背景，还增加了地图的东西南北指引。最后效果很好。”</w:t>
      </w:r>
      <w:r>
        <w:rPr>
          <w:rFonts w:ascii="微软雅黑" w:hAnsi="微软雅黑" w:cs="微软雅黑"/>
        </w:rPr>
        <w:br w:type="textWrapping"/>
      </w:r>
      <w:r>
        <w:rPr>
          <w:rFonts w:ascii="微软雅黑" w:hAnsi="微软雅黑" w:cs="微软雅黑"/>
        </w:rPr>
        <w:t>——大学生问卷开放回答，样本8c9a9315</w:t>
      </w:r>
    </w:p>
    <w:p w14:paraId="3A0034DF">
      <w:pPr>
        <w:pStyle w:val="178"/>
      </w:pPr>
      <w:r>
        <w:rPr>
          <w:rFonts w:hint="eastAsia" w:ascii="微软雅黑" w:hAnsi="微软雅黑" w:cs="微软雅黑"/>
        </w:rPr>
        <w:t>样本9a4cfd90在界面生成任务中记录了布局和视觉问题：</w:t>
      </w:r>
    </w:p>
    <w:p w14:paraId="34F91F30">
      <w:pPr>
        <w:pStyle w:val="179"/>
      </w:pPr>
      <w:r>
        <w:rPr>
          <w:rFonts w:ascii="微软雅黑" w:hAnsi="微软雅黑" w:cs="微软雅黑"/>
        </w:rPr>
        <w:t>“想要一个界面，我描述构想后AI生成前端组件重叠，视觉效果很差。”</w:t>
      </w:r>
      <w:r>
        <w:rPr>
          <w:rFonts w:ascii="微软雅黑" w:hAnsi="微软雅黑" w:cs="微软雅黑"/>
        </w:rPr>
        <w:br w:type="textWrapping"/>
      </w:r>
      <w:r>
        <w:rPr>
          <w:rFonts w:ascii="微软雅黑" w:hAnsi="微软雅黑" w:cs="微软雅黑"/>
        </w:rPr>
        <w:t>——大学生问卷开放回答，样本9a4cfd90</w:t>
      </w:r>
    </w:p>
    <w:p w14:paraId="542E358D">
      <w:pPr>
        <w:pStyle w:val="178"/>
      </w:pPr>
      <w:r>
        <w:rPr>
          <w:rFonts w:ascii="微软雅黑" w:hAnsi="微软雅黑" w:cs="微软雅黑"/>
        </w:rPr>
        <w:t>另一名用户在实现软阴影、环境光遮蔽和体积雾时，先寻找参考资料并提供给Codex，并将参考材料作为效果调整依据。</w:t>
      </w:r>
    </w:p>
    <w:p w14:paraId="0BC93625">
      <w:pPr>
        <w:pStyle w:val="19"/>
        <w:rPr>
          <w:rFonts w:hint="eastAsia" w:ascii="微软雅黑" w:hAnsi="微软雅黑" w:cs="微软雅黑"/>
        </w:rPr>
      </w:pPr>
      <w:r>
        <w:t>低评价样本记录了界面组件重叠、视觉偏差、复杂图形需要参考材料和灯光调整后效果一般等问题；高评价样本8c9a9315在简略小地图基础上继续修改，最终达到预期。代码质量评价的差异集中在生成结果与任务要求的适配程度，以及调整后的最终效果。</w:t>
      </w:r>
    </w:p>
    <w:p w14:paraId="412EEDB4">
      <w:pPr>
        <w:pStyle w:val="19"/>
      </w:pPr>
      <w:r>
        <w:t>样本44776c67对提升代码质量给出2分，其主要任务是需求拆解、项目理解和协作说明。开放回答记录了Codex帮助梳理行为分支并改善架构组织。该用户对需求整理和项目理解的评价较高，代码质量评价较低。</w:t>
      </w:r>
    </w:p>
    <w:p w14:paraId="4061D813">
      <w:pPr>
        <w:pStyle w:val="6"/>
      </w:pPr>
      <w:r>
        <w:rPr>
          <w:rFonts w:hint="eastAsia" w:ascii="微软雅黑" w:hAnsi="微软雅黑" w:eastAsia="微软雅黑" w:cs="微软雅黑"/>
        </w:rPr>
        <w:t>（3）人工判断贯穿生成结果进入项目的过程</w:t>
      </w:r>
    </w:p>
    <w:p w14:paraId="04AB27E6">
      <w:pPr>
        <w:pStyle w:val="178"/>
      </w:pPr>
      <w:r>
        <w:rPr>
          <w:rFonts w:ascii="微软雅黑" w:hAnsi="微软雅黑" w:cs="微软雅黑"/>
        </w:rPr>
        <w:t>阅读修改和运行测试是生成内容进入项目的主要步骤。14人（93.3%）会阅读后小幅修改，10人（66.7%）会运行测试；其他处理方式见图4-4，同一名用户会根据任务采用多种方式。</w:t>
      </w:r>
    </w:p>
    <w:p w14:paraId="3526519C">
      <w:pPr>
        <w:pStyle w:val="19"/>
      </w:pPr>
      <w:r>
        <w:rPr>
          <w:rFonts w:ascii="微软雅黑" w:hAnsi="微软雅黑" w:cs="微软雅黑"/>
        </w:rPr>
        <w:t>最终产出方面，11人（73.3%）表示大部分产出进入项目，2人（13.3%）表示修改后部分进入，2人（13.3%）表示少量进入。</w:t>
      </w:r>
    </w:p>
    <w:p w14:paraId="1A15AA36">
      <w:pPr>
        <w:keepNext/>
        <w:spacing w:before="120" w:after="40"/>
        <w:jc w:val="center"/>
      </w:pPr>
      <w:r>
        <w:drawing>
          <wp:inline distT="0" distB="0" distL="0" distR="0">
            <wp:extent cx="5579745" cy="3395980"/>
            <wp:effectExtent l="0" t="0" r="8255" b="7620"/>
            <wp:docPr id="4" name="图4-4" descr="生成结果处理方式与项目接入情况横向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4-4" descr="生成结果处理方式与项目接入情况横向条形图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999B">
      <w:pPr>
        <w:pStyle w:val="173"/>
        <w:keepNext w:val="0"/>
        <w:keepLines/>
      </w:pPr>
      <w:r>
        <w:t>图4-4　生成结果的处理方式与项目接入情况（N=15）</w:t>
      </w:r>
    </w:p>
    <w:p w14:paraId="5924ADCB">
      <w:pPr>
        <w:pStyle w:val="19"/>
      </w:pPr>
      <w:r>
        <w:rPr>
          <w:rFonts w:ascii="微软雅黑" w:hAnsi="微软雅黑" w:cs="微软雅黑"/>
        </w:rPr>
        <w:t>对生成代码的判断与维护能力评价中，定位问题和解释代码均有11人（73.3%）给出4—5分，判断正确性和后续维护均为9人（60.0%），控制依赖风险为8人（53.3%）。</w:t>
      </w:r>
    </w:p>
    <w:p w14:paraId="6F2C2075">
      <w:pPr>
        <w:keepNext/>
        <w:spacing w:before="120" w:after="40"/>
        <w:jc w:val="center"/>
      </w:pPr>
      <w:r>
        <w:drawing>
          <wp:inline distT="0" distB="0" distL="0" distR="0">
            <wp:extent cx="5579745" cy="1976755"/>
            <wp:effectExtent l="0" t="0" r="8255" b="4445"/>
            <wp:docPr id="5" name="图4-5" descr="用户对生成代码判断和维护能力的分档评价堆叠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4-5" descr="用户对生成代码判断和维护能力的分档评价堆叠条形图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19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60EEF">
      <w:pPr>
        <w:pStyle w:val="173"/>
        <w:keepNext w:val="0"/>
        <w:keepLines/>
      </w:pPr>
      <w:r>
        <w:t>图4-5　用户对生成代码的判断与维护能力评价（N=15）</w:t>
      </w:r>
    </w:p>
    <w:p w14:paraId="36D7A5FD">
      <w:pPr>
        <w:pStyle w:val="19"/>
        <w:rPr>
          <w:rFonts w:hint="eastAsia" w:ascii="微软雅黑" w:hAnsi="微软雅黑" w:cs="微软雅黑"/>
        </w:rPr>
      </w:pPr>
      <w:r>
        <w:t>低评价组和高评价组各5人，均会阅读后小改。低评价组中4人运行测试、2人放弃部分结果、1人大幅改写；高评价组中3人运行测试、2人请队友检查。对判断正确性、后续维护和依赖风险给出4—5分者，低评价组分别为1人、2人和1人，高评价组均为4人。低评价组还通过改写或放弃结果处理质量问题。</w:t>
      </w:r>
    </w:p>
    <w:p w14:paraId="0A07B979">
      <w:pPr>
        <w:pStyle w:val="19"/>
        <w:rPr>
          <w:rFonts w:hint="eastAsia" w:ascii="微软雅黑" w:hAnsi="微软雅黑" w:cs="微软雅黑"/>
          <w:lang w:eastAsia="zh-CN"/>
        </w:rPr>
      </w:pPr>
      <w:r>
        <w:rPr>
          <w:rFonts w:ascii="微软雅黑" w:hAnsi="微软雅黑" w:cs="微软雅黑"/>
        </w:rPr>
        <w:t>整体价值判断中，11人（73.3%）认为提高已有能力与补足不足对应不同任务，3人（20.0%）认为作用主要是提高已有能力的效率，1人（6.7%）评价整体价值有限</w:t>
      </w:r>
      <w:r>
        <w:rPr>
          <w:rFonts w:hint="eastAsia" w:ascii="微软雅黑" w:hAnsi="微软雅黑" w:cs="微软雅黑"/>
          <w:lang w:eastAsia="zh-CN"/>
        </w:rPr>
        <w:t>。</w:t>
      </w:r>
    </w:p>
    <w:p w14:paraId="65631346">
      <w:pPr>
        <w:pStyle w:val="19"/>
        <w:rPr>
          <w:rFonts w:hint="eastAsia" w:ascii="微软雅黑" w:hAnsi="微软雅黑" w:cs="微软雅黑"/>
        </w:rPr>
      </w:pPr>
      <w:r>
        <w:t>唯一评价整体价值有限的样本e80e7f1a，对提高速度和提升代码质量均给出3分，对减少重复劳动给出5分；其当前任务完成能力为只能完成很小一部分，解释代码和后续维护分别为2分和1分，开放回答将结果概括为效果一般。在上述三项中，该样本只对减少重复劳动给出高分。</w:t>
      </w:r>
    </w:p>
    <w:p w14:paraId="24E746BD">
      <w:pPr>
        <w:pStyle w:val="19"/>
        <w:rPr>
          <w:rFonts w:hint="eastAsia" w:ascii="微软雅黑" w:hAnsi="微软雅黑" w:cs="微软雅黑"/>
        </w:rPr>
      </w:pPr>
      <w:r>
        <w:t>总体上，提高开发速度和减少重复劳动获得最集中评价。代码质量评价较低的用户仍认可速度，并通过阅读、测试、改写或筛选将结果接入项目。</w:t>
      </w:r>
    </w:p>
    <w:p w14:paraId="57918020">
      <w:pPr>
        <w:pStyle w:val="4"/>
      </w:pPr>
      <w:bookmarkStart w:id="18" w:name="_Toc236239836"/>
      <w:r>
        <w:rPr>
          <w:rFonts w:ascii="微软雅黑" w:hAnsi="微软雅黑" w:eastAsia="微软雅黑" w:cs="微软雅黑"/>
        </w:rPr>
        <w:t>4.2 从需求拆分到项目接入：三个案例中的程序配合过程</w:t>
      </w:r>
      <w:bookmarkEnd w:id="18"/>
    </w:p>
    <w:p w14:paraId="03ED1FB3">
      <w:pPr>
        <w:pStyle w:val="178"/>
      </w:pPr>
      <w:r>
        <w:t>本节结合开发者A、B、C的项目，呈现任务提出、检查修正和项目接入过程。</w:t>
      </w:r>
    </w:p>
    <w:p w14:paraId="3AE5C1DC">
      <w:pPr>
        <w:pStyle w:val="19"/>
      </w:pPr>
      <w:r>
        <w:t>开发者A参与48小时Unreal Engine限时开发，开发者B参与多个Unity短期演示项目，开发者C使用Godot开发限时作品和个人长期沙盒项目。</w:t>
      </w:r>
    </w:p>
    <w:p w14:paraId="1B4AF8BB">
      <w:pPr>
        <w:pStyle w:val="19"/>
        <w:keepNext/>
        <w:spacing w:before="120" w:after="60"/>
      </w:pPr>
      <w:r>
        <w:rPr>
          <w:rFonts w:ascii="微软雅黑" w:hAnsi="微软雅黑" w:cs="微软雅黑"/>
        </w:rPr>
        <w:t>表4-6　三名开发者的项目情境与配合方式</w:t>
      </w:r>
    </w:p>
    <w:tbl>
      <w:tblPr>
        <w:tblStyle w:val="35"/>
        <w:tblW w:w="5000" w:type="pct"/>
        <w:jc w:val="center"/>
        <w:tblBorders>
          <w:top w:val="single" w:color="9AA9B8" w:sz="4" w:space="0"/>
          <w:left w:val="single" w:color="9AA9B8" w:sz="4" w:space="0"/>
          <w:bottom w:val="single" w:color="9AA9B8" w:sz="4" w:space="0"/>
          <w:right w:val="single" w:color="9AA9B8" w:sz="4" w:space="0"/>
          <w:insideH w:val="single" w:color="9AA9B8" w:sz="4" w:space="0"/>
          <w:insideV w:val="single" w:color="9AA9B8" w:sz="4" w:space="0"/>
        </w:tblBorders>
        <w:tblLayout w:type="fixed"/>
        <w:tblCellMar>
          <w:top w:w="70" w:type="dxa"/>
          <w:left w:w="90" w:type="dxa"/>
          <w:bottom w:w="70" w:type="dxa"/>
          <w:right w:w="90" w:type="dxa"/>
        </w:tblCellMar>
      </w:tblPr>
      <w:tblGrid>
        <w:gridCol w:w="2356"/>
        <w:gridCol w:w="2356"/>
        <w:gridCol w:w="2356"/>
        <w:gridCol w:w="2356"/>
      </w:tblGrid>
      <w:tr w14:paraId="11BCF617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tblHeader/>
          <w:jc w:val="center"/>
        </w:trPr>
        <w:tc>
          <w:tcPr>
            <w:tcW w:w="1980" w:type="dxa"/>
            <w:shd w:val="clear" w:color="auto" w:fill="DCE9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34CF50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b/>
                <w:sz w:val="18"/>
              </w:rPr>
              <w:t>案例</w:t>
            </w:r>
          </w:p>
        </w:tc>
        <w:tc>
          <w:tcPr>
            <w:tcW w:w="1980" w:type="dxa"/>
            <w:shd w:val="clear" w:color="auto" w:fill="DCE9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01FE70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b/>
                <w:sz w:val="18"/>
              </w:rPr>
              <w:t>项目情境</w:t>
            </w:r>
          </w:p>
        </w:tc>
        <w:tc>
          <w:tcPr>
            <w:tcW w:w="1980" w:type="dxa"/>
            <w:shd w:val="clear" w:color="auto" w:fill="DCE9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8AE861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b/>
                <w:sz w:val="18"/>
              </w:rPr>
              <w:t>Codex参与的主要任务</w:t>
            </w:r>
          </w:p>
        </w:tc>
        <w:tc>
          <w:tcPr>
            <w:tcW w:w="1980" w:type="dxa"/>
            <w:shd w:val="clear" w:color="auto" w:fill="DCE9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0194FA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b/>
                <w:sz w:val="18"/>
              </w:rPr>
              <w:t>用户主要控制方式</w:t>
            </w:r>
          </w:p>
        </w:tc>
      </w:tr>
      <w:tr w14:paraId="29FBBDE3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9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399DD6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sz w:val="18"/>
              </w:rPr>
              <w:t>开发者A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68DE2D">
            <w:pPr>
              <w:spacing w:after="0" w:line="240" w:lineRule="auto"/>
              <w:jc w:val="left"/>
            </w:pPr>
            <w:r>
              <w:rPr>
                <w:rFonts w:ascii="微软雅黑" w:hAnsi="微软雅黑" w:cs="微软雅黑"/>
                <w:sz w:val="18"/>
              </w:rPr>
              <w:t>48小时Unreal Engine限时开发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205079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钩锁物理约束、射线检测等核心玩法代码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BBE98E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拆分需求、分配对话、确认实现计划、检查逻辑并测试</w:t>
            </w:r>
          </w:p>
        </w:tc>
      </w:tr>
      <w:tr w14:paraId="6EB6E894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98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B06403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sz w:val="18"/>
              </w:rPr>
              <w:t>开发者B</w:t>
            </w:r>
          </w:p>
        </w:tc>
        <w:tc>
          <w:tcPr>
            <w:tcW w:w="198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F9A9EC">
            <w:pPr>
              <w:spacing w:after="0" w:line="240" w:lineRule="auto"/>
              <w:jc w:val="left"/>
            </w:pPr>
            <w:r>
              <w:rPr>
                <w:rFonts w:ascii="微软雅黑" w:hAnsi="微软雅黑" w:cs="微软雅黑"/>
                <w:sz w:val="18"/>
              </w:rPr>
              <w:t>多个Unity短期演示项目</w:t>
            </w:r>
          </w:p>
        </w:tc>
        <w:tc>
          <w:tcPr>
            <w:tcW w:w="198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F88C9E">
            <w:pPr>
              <w:spacing w:after="0" w:line="240" w:lineRule="auto"/>
              <w:jc w:val="left"/>
            </w:pPr>
            <w:r>
              <w:rPr>
                <w:rFonts w:ascii="微软雅黑" w:hAnsi="微软雅黑" w:cs="微软雅黑"/>
                <w:sz w:val="18"/>
              </w:rPr>
              <w:t>玩家控制、游戏对象创建、移动逻辑、参数公开和程序错误修改</w:t>
            </w:r>
          </w:p>
        </w:tc>
        <w:tc>
          <w:tcPr>
            <w:tcW w:w="198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37409E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描述功能、运行验证、继续修改或人工处理</w:t>
            </w:r>
          </w:p>
        </w:tc>
      </w:tr>
      <w:tr w14:paraId="4AAE3BF0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9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056747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sz w:val="18"/>
              </w:rPr>
              <w:t>开发者C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581630">
            <w:pPr>
              <w:spacing w:after="0" w:line="240" w:lineRule="auto"/>
              <w:jc w:val="left"/>
            </w:pPr>
            <w:r>
              <w:rPr>
                <w:rFonts w:ascii="微软雅黑" w:hAnsi="微软雅黑" w:cs="微软雅黑"/>
                <w:sz w:val="18"/>
              </w:rPr>
              <w:t>Godot限时开发与长期沙盒项目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5811F9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抛锚玩法、物理手感、旧项目代码参考和架构理解</w:t>
            </w:r>
          </w:p>
        </w:tc>
        <w:tc>
          <w:tcPr>
            <w:tcW w:w="198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B62B77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限定目录、提供参考项目、试玩反馈、按项目周期调整修改范围</w:t>
            </w:r>
          </w:p>
        </w:tc>
      </w:tr>
    </w:tbl>
    <w:p w14:paraId="193E3983">
      <w:pPr>
        <w:pStyle w:val="5"/>
      </w:pPr>
      <w:bookmarkStart w:id="19" w:name="_Toc236239837"/>
      <w:r>
        <w:rPr>
          <w:rFonts w:ascii="微软雅黑" w:hAnsi="微软雅黑" w:eastAsia="微软雅黑" w:cs="微软雅黑"/>
        </w:rPr>
        <w:t xml:space="preserve">4.2.1 </w:t>
      </w:r>
      <w:r>
        <w:rPr>
          <w:rFonts w:hint="eastAsia" w:ascii="微软雅黑" w:hAnsi="微软雅黑" w:eastAsia="微软雅黑" w:cs="微软雅黑"/>
        </w:rPr>
        <w:t>用户先把创作目标整理成可执行任务</w:t>
      </w:r>
      <w:bookmarkEnd w:id="19"/>
    </w:p>
    <w:p w14:paraId="03310978">
      <w:pPr>
        <w:pStyle w:val="178"/>
      </w:pPr>
      <w:r>
        <w:rPr>
          <w:rFonts w:ascii="微软雅黑" w:hAnsi="微软雅黑" w:cs="微软雅黑"/>
        </w:rPr>
        <w:t>三名开发者都先把玩法想法整理成具体程序任务，再确定Codex的输入内容和修改范围。</w:t>
      </w:r>
    </w:p>
    <w:p w14:paraId="0B4500E3">
      <w:pPr>
        <w:pStyle w:val="19"/>
      </w:pPr>
      <w:r>
        <w:rPr>
          <w:rFonts w:ascii="微软雅黑" w:hAnsi="微软雅黑" w:cs="微软雅黑"/>
        </w:rPr>
        <w:t>开发者A的需求来自团队策划案。限时开发主题公布后，策划先形成基本方案，他再将程序工作拆开，分别交给Codex处理：</w:t>
      </w:r>
    </w:p>
    <w:p w14:paraId="713FB219">
      <w:pPr>
        <w:pStyle w:val="179"/>
      </w:pPr>
      <w:r>
        <w:rPr>
          <w:rFonts w:hint="eastAsia" w:ascii="微软雅黑" w:hAnsi="微软雅黑" w:cs="微软雅黑"/>
        </w:rPr>
        <w:t>“等主题出来，我就等策划先把策划案大概写好，我这边把需求拆分一遍，然后分多个不同的对话喂给Codex。”</w:t>
      </w:r>
      <w:r>
        <w:rPr>
          <w:rFonts w:ascii="微软雅黑" w:hAnsi="微软雅黑" w:cs="微软雅黑"/>
        </w:rPr>
        <w:br w:type="textWrapping"/>
      </w:r>
      <w:r>
        <w:rPr>
          <w:rFonts w:hint="eastAsia" w:ascii="微软雅黑" w:hAnsi="微软雅黑" w:cs="微软雅黑"/>
        </w:rPr>
        <w:t>——开发者A访谈</w:t>
      </w:r>
    </w:p>
    <w:p w14:paraId="33A04B4E">
      <w:pPr>
        <w:pStyle w:val="178"/>
      </w:pPr>
      <w:r>
        <w:t>开发者A把拆分后的任务放入不同对话，先查看实现方案，再让Codex修改代码。策划案提供玩法目标，开发者负责拆分任务和确认方案。</w:t>
      </w:r>
    </w:p>
    <w:p w14:paraId="2775BEFD">
      <w:pPr>
        <w:pStyle w:val="19"/>
      </w:pPr>
      <w:r>
        <w:rPr>
          <w:rFonts w:ascii="微软雅黑" w:hAnsi="微软雅黑" w:cs="微软雅黑"/>
        </w:rPr>
        <w:t>开发者B从单项功能出发，提出创建游戏对象、挂载脚本、实现移动逻辑和公开Unity属性面板变量等要求。他直接描述功能目标和可调参数，复杂需求则先经通用对话工具整理。</w:t>
      </w:r>
    </w:p>
    <w:p w14:paraId="6B2CA69B">
      <w:pPr>
        <w:pStyle w:val="19"/>
        <w:rPr>
          <w:rFonts w:hint="eastAsia" w:ascii="微软雅黑" w:hAnsi="微软雅黑" w:cs="微软雅黑"/>
        </w:rPr>
      </w:pPr>
      <w:r>
        <w:rPr>
          <w:rFonts w:ascii="微软雅黑" w:hAnsi="微软雅黑" w:cs="微软雅黑"/>
        </w:rPr>
        <w:t>开发者C把已有项目作为参考材料。他要求Codex读取长期沙盒项目中的人物物理和“脐带物理”，再将连接方式迁移到Godot平台乱斗项目的抛锚玩法中，同时规定修改目录。</w:t>
      </w:r>
    </w:p>
    <w:p w14:paraId="2B007914">
      <w:pPr>
        <w:pStyle w:val="19"/>
        <w:rPr>
          <w:rFonts w:hint="eastAsia" w:ascii="微软雅黑" w:hAnsi="微软雅黑" w:cs="微软雅黑"/>
        </w:rPr>
      </w:pPr>
      <w:r>
        <w:t>三名开发者使用Codex的直接动机分别是压缩限时开发中的实现时间、优先形成可运行演示，以及减少复制粘贴并同时推进多个功能。技术错误、要求遗漏和玩法偏差形成了后续检查和修改任务。</w:t>
      </w:r>
    </w:p>
    <w:p w14:paraId="4C31B5FA">
      <w:pPr>
        <w:pStyle w:val="5"/>
      </w:pPr>
      <w:bookmarkStart w:id="20" w:name="_Toc236239838"/>
      <w:r>
        <w:rPr>
          <w:rFonts w:ascii="微软雅黑" w:hAnsi="微软雅黑" w:eastAsia="微软雅黑" w:cs="微软雅黑"/>
        </w:rPr>
        <w:t xml:space="preserve">4.2.2 </w:t>
      </w:r>
      <w:r>
        <w:rPr>
          <w:rFonts w:hint="eastAsia" w:ascii="微软雅黑" w:hAnsi="微软雅黑" w:eastAsia="微软雅黑" w:cs="微软雅黑"/>
        </w:rPr>
        <w:t>可运行结果需要经过持续测试和修正</w:t>
      </w:r>
      <w:bookmarkEnd w:id="20"/>
    </w:p>
    <w:p w14:paraId="2A1F1D20">
      <w:pPr>
        <w:pStyle w:val="178"/>
      </w:pPr>
      <w:r>
        <w:rPr>
          <w:rFonts w:ascii="微软雅黑" w:hAnsi="微软雅黑" w:cs="微软雅黑"/>
        </w:rPr>
        <w:t>生成内容进入项目之前，三名开发者都通过运行或试玩发现偏差，并把结果转化为下一轮修改要求。</w:t>
      </w:r>
    </w:p>
    <w:p w14:paraId="06AD1E49">
      <w:pPr>
        <w:pStyle w:val="19"/>
      </w:pPr>
      <w:r>
        <w:rPr>
          <w:rFonts w:ascii="微软雅黑" w:hAnsi="微软雅黑" w:cs="微软雅黑"/>
        </w:rPr>
        <w:t>开发者A参与48小时限时开发，完成速度是本次项目的优先目标。他表示，自行实现钩锁系统还需要查阅Unreal Engine文档并投入较多时间。确认方案后，Codex生成钩锁系统的大部分功能；首次运行发现射线检测通道问题后，开发者指出错误并要求修改。</w:t>
      </w:r>
    </w:p>
    <w:p w14:paraId="3A6F78D6">
      <w:pPr>
        <w:pStyle w:val="19"/>
      </w:pPr>
      <w:r>
        <w:rPr>
          <w:rFonts w:ascii="微软雅黑" w:hAnsi="微软雅黑" w:cs="微软雅黑"/>
        </w:rPr>
        <w:t>开发者B同样把完成速度放在首位，短期Game Jam以形成可运行演示为目标。他将自己的开发方式概括为：</w:t>
      </w:r>
    </w:p>
    <w:p w14:paraId="617B8AEC">
      <w:pPr>
        <w:pStyle w:val="179"/>
      </w:pPr>
      <w:r>
        <w:rPr>
          <w:rFonts w:ascii="微软雅黑" w:hAnsi="微软雅黑" w:cs="微软雅黑"/>
        </w:rPr>
        <w:t xml:space="preserve">“Game </w:t>
      </w:r>
      <w:r>
        <w:rPr>
          <w:rFonts w:hint="eastAsia" w:ascii="微软雅黑" w:hAnsi="微软雅黑" w:cs="微软雅黑"/>
        </w:rPr>
        <w:t>Jam嘛，质量不是那么重要，反而先做出来是第一要务。”</w:t>
      </w:r>
      <w:r>
        <w:rPr>
          <w:rFonts w:ascii="微软雅黑" w:hAnsi="微软雅黑" w:cs="微软雅黑"/>
        </w:rPr>
        <w:br w:type="textWrapping"/>
      </w:r>
      <w:r>
        <w:rPr>
          <w:rFonts w:hint="eastAsia" w:ascii="微软雅黑" w:hAnsi="微软雅黑" w:cs="微软雅黑"/>
        </w:rPr>
        <w:t>——开发者B访谈</w:t>
      </w:r>
    </w:p>
    <w:p w14:paraId="5B8D7020">
      <w:pPr>
        <w:pStyle w:val="178"/>
      </w:pPr>
      <w:r>
        <w:rPr>
          <w:rFonts w:ascii="微软雅黑" w:hAnsi="微软雅黑" w:cs="微软雅黑"/>
        </w:rPr>
        <w:t>Codex生成玩家控制、对象逻辑和基础脚本后，开发者B根据运行情况继续询问AI、自己修改或寻求其他开发者帮助。</w:t>
      </w:r>
    </w:p>
    <w:p w14:paraId="5C136725">
      <w:pPr>
        <w:pStyle w:val="19"/>
      </w:pPr>
      <w:r>
        <w:rPr>
          <w:rFonts w:ascii="微软雅黑" w:hAnsi="微软雅黑" w:cs="微软雅黑"/>
        </w:rPr>
        <w:t>开发者B的运行和整合过程出现两类问题：多项要求同时输入时发生内容遗漏，部分生成方式偏离Unity常用组件并增加功能连接步骤。</w:t>
      </w:r>
    </w:p>
    <w:p w14:paraId="6F68E961">
      <w:pPr>
        <w:pStyle w:val="19"/>
      </w:pPr>
      <w:r>
        <w:rPr>
          <w:rFonts w:ascii="微软雅黑" w:hAnsi="微软雅黑" w:cs="微软雅黑"/>
        </w:rPr>
        <w:t>开发者C的第一轮输出形成基础抛锚原型。试玩发现素材、锚节点、绳索连接和输入方向等偏差后，他补充具体要求，并继续调整力量、绳索长度、位移和空中控制，直至玩法手感符合预期。</w:t>
      </w:r>
    </w:p>
    <w:p w14:paraId="26CE2081">
      <w:pPr>
        <w:pStyle w:val="5"/>
      </w:pPr>
      <w:bookmarkStart w:id="21" w:name="_Toc236239839"/>
      <w:r>
        <w:rPr>
          <w:rFonts w:ascii="微软雅黑" w:hAnsi="微软雅黑" w:eastAsia="微软雅黑" w:cs="微软雅黑"/>
        </w:rPr>
        <w:t>4.2.3 不同项目中的修改范围与人工控制</w:t>
      </w:r>
      <w:bookmarkEnd w:id="21"/>
    </w:p>
    <w:p w14:paraId="4CC1CEDA">
      <w:pPr>
        <w:pStyle w:val="178"/>
      </w:pPr>
      <w:r>
        <w:rPr>
          <w:rFonts w:ascii="微软雅黑" w:hAnsi="微软雅黑" w:cs="微软雅黑"/>
        </w:rPr>
        <w:t>三个案例中的开发者保留了不同的人工控制工作。</w:t>
      </w:r>
    </w:p>
    <w:p w14:paraId="422960CE">
      <w:pPr>
        <w:pStyle w:val="19"/>
      </w:pPr>
      <w:r>
        <w:rPr>
          <w:rFonts w:ascii="微软雅黑" w:hAnsi="微软雅黑" w:cs="微软雅黑"/>
        </w:rPr>
        <w:t>开发者A允许Codex承担钩锁系统和射线检测等核心代码，同时负责需求拆分、方案确认、逻辑检查和运行验收。</w:t>
      </w:r>
    </w:p>
    <w:p w14:paraId="48738FFC">
      <w:pPr>
        <w:pStyle w:val="19"/>
      </w:pPr>
      <w:r>
        <w:rPr>
          <w:rFonts w:ascii="微软雅黑" w:hAnsi="微软雅黑" w:cs="微软雅黑"/>
        </w:rPr>
        <w:t>开发者B掌握项目框架和脚本功能，通过运行结果检查玩家移动、对象创建和数值调整，把控制重点放在原型运行和快速调整上。</w:t>
      </w:r>
    </w:p>
    <w:p w14:paraId="14678586">
      <w:pPr>
        <w:pStyle w:val="19"/>
      </w:pPr>
      <w:r>
        <w:rPr>
          <w:rFonts w:ascii="微软雅黑" w:hAnsi="微软雅黑" w:cs="微软雅黑"/>
        </w:rPr>
        <w:t>开发者C根据项目周期和资源情况设置Codex的读取和修改范围。短期项目资源较少，他允许Codex创建文件并生成程序代码；长期项目已有持续积累的文件和资源，由他管理目录结构并限定AI的处理范围：</w:t>
      </w:r>
    </w:p>
    <w:p w14:paraId="627A2A63">
      <w:pPr>
        <w:pStyle w:val="179"/>
      </w:pPr>
      <w:r>
        <w:rPr>
          <w:rFonts w:hint="eastAsia" w:ascii="微软雅黑" w:hAnsi="微软雅黑" w:cs="微软雅黑"/>
        </w:rPr>
        <w:t>“长期项目文件夹不太会给AI动，短期项目资源少，AI随便建文件夹。”</w:t>
      </w:r>
      <w:r>
        <w:rPr>
          <w:rFonts w:ascii="微软雅黑" w:hAnsi="微软雅黑" w:cs="微软雅黑"/>
        </w:rPr>
        <w:br w:type="textWrapping"/>
      </w:r>
      <w:r>
        <w:rPr>
          <w:rFonts w:hint="eastAsia" w:ascii="微软雅黑" w:hAnsi="微软雅黑" w:cs="微软雅黑"/>
        </w:rPr>
        <w:t>——开发者C访谈</w:t>
      </w:r>
    </w:p>
    <w:p w14:paraId="03B90776">
      <w:pPr>
        <w:pStyle w:val="178"/>
      </w:pPr>
      <w:r>
        <w:t>在长期项目中，开发者C让Codex整理字段、枚举和资源引用并生成配置说明，自己管理文件结构和资源修改。</w:t>
      </w:r>
    </w:p>
    <w:p w14:paraId="6C5FF821">
      <w:pPr>
        <w:pStyle w:val="19"/>
      </w:pPr>
      <w:r>
        <w:rPr>
          <w:rFonts w:ascii="微软雅黑" w:hAnsi="微软雅黑" w:cs="微软雅黑"/>
        </w:rPr>
        <w:t>三个案例的控制重点分别是需求与方案、功能与参数、目录与玩法手感。用户通过运行、逻辑检查或试玩完成验收，并据此决定生成内容如何进入项目。</w:t>
      </w:r>
    </w:p>
    <w:p w14:paraId="38BF0805">
      <w:pPr>
        <w:pStyle w:val="4"/>
      </w:pPr>
      <w:bookmarkStart w:id="22" w:name="_Toc236239840"/>
      <w:r>
        <w:rPr>
          <w:rFonts w:ascii="微软雅黑" w:hAnsi="微软雅黑" w:eastAsia="微软雅黑" w:cs="微软雅黑"/>
        </w:rPr>
        <w:t>4.3 问卷与案例共同支持的程序协作发现</w:t>
      </w:r>
      <w:bookmarkEnd w:id="22"/>
    </w:p>
    <w:p w14:paraId="13A36F60">
      <w:pPr>
        <w:pStyle w:val="178"/>
      </w:pPr>
      <w:r>
        <w:t>以下三项发现分别概括工具价值、协作过程和人工控制。</w:t>
      </w:r>
    </w:p>
    <w:p w14:paraId="7FF47B41">
      <w:pPr>
        <w:pStyle w:val="5"/>
      </w:pPr>
      <w:bookmarkStart w:id="23" w:name="_Toc236239841"/>
      <w:r>
        <w:rPr>
          <w:rFonts w:ascii="微软雅黑" w:hAnsi="微软雅黑" w:eastAsia="微软雅黑" w:cs="微软雅黑"/>
        </w:rPr>
        <w:t>4.3.1 核心诉求集中在快速形成可继续处理的结果</w:t>
      </w:r>
      <w:bookmarkEnd w:id="23"/>
    </w:p>
    <w:p w14:paraId="61297475">
      <w:pPr>
        <w:pStyle w:val="19"/>
      </w:pPr>
      <w:r>
        <w:t>提高开发速度和减少重复劳动均有14人给出4—5分。5名代码质量低评价者也全部高度评价速度，其中4人的产出仍有大部分进入项目。开发者A压缩限时项目的实现时间，开发者B优先形成可运行演示，开发者C减少复制粘贴并同时推进多个功能。用户看重快速形成可继续处理的结果，并在生成后继续修正质量问题。</w:t>
      </w:r>
    </w:p>
    <w:p w14:paraId="0E65927C">
      <w:pPr>
        <w:pStyle w:val="5"/>
      </w:pPr>
      <w:bookmarkStart w:id="24" w:name="_Toc236239842"/>
      <w:r>
        <w:rPr>
          <w:rFonts w:ascii="微软雅黑" w:hAnsi="微软雅黑" w:eastAsia="微软雅黑" w:cs="微软雅黑"/>
        </w:rPr>
        <w:t>4.3.2 代码生成之后仍有持续检查和修改</w:t>
      </w:r>
      <w:bookmarkEnd w:id="24"/>
    </w:p>
    <w:p w14:paraId="69B15AB0">
      <w:pPr>
        <w:pStyle w:val="178"/>
      </w:pPr>
      <w:r>
        <w:t>程序协作包括目标和范围设定、代码生成或修改、运行检查、反馈调整和项目接入。生成后，14人会阅读并小幅修改，10人会运行测试。</w:t>
      </w:r>
    </w:p>
    <w:p w14:paraId="53F10241">
      <w:pPr>
        <w:pStyle w:val="19"/>
      </w:pPr>
      <w:r>
        <w:t>开发者A检查射线检测逻辑，开发者B依据运行结果继续修改，开发者C通过试玩调整素材、输入和手感。三人都把检查结果转化为下一轮修改要求。</w:t>
      </w:r>
    </w:p>
    <w:p w14:paraId="5FF05C2A">
      <w:pPr>
        <w:pStyle w:val="5"/>
      </w:pPr>
      <w:bookmarkStart w:id="25" w:name="_Toc236239843"/>
      <w:r>
        <w:rPr>
          <w:rFonts w:ascii="微软雅黑" w:hAnsi="微软雅黑" w:eastAsia="微软雅黑" w:cs="微软雅黑"/>
        </w:rPr>
        <w:t>4.3.3 人工控制集中在任务范围、运行检查和项目接入</w:t>
      </w:r>
      <w:bookmarkEnd w:id="25"/>
    </w:p>
    <w:p w14:paraId="230CAE52">
      <w:pPr>
        <w:pStyle w:val="178"/>
      </w:pPr>
      <w:r>
        <w:rPr>
          <w:rFonts w:ascii="微软雅黑" w:hAnsi="微软雅黑" w:cs="微软雅黑"/>
        </w:rPr>
        <w:t>问卷中，定位问题和解释代码均有11人给出4—5分，判断正确性和后续维护均为9人，控制依赖风险为8人。</w:t>
      </w:r>
    </w:p>
    <w:p w14:paraId="38884B51">
      <w:pPr>
        <w:pStyle w:val="19"/>
      </w:pPr>
      <w:r>
        <w:rPr>
          <w:rFonts w:ascii="微软雅黑" w:hAnsi="微软雅黑" w:cs="微软雅黑"/>
        </w:rPr>
        <w:t>开发者A负责需求拆分和方案确认，开发者B检查运行结果和可调参数，开发者C根据短期、长期项目设置不同的目录和修改范围。</w:t>
      </w:r>
    </w:p>
    <w:p w14:paraId="5FBE3FDC">
      <w:pPr>
        <w:pStyle w:val="4"/>
      </w:pPr>
      <w:bookmarkStart w:id="26" w:name="_Toc236239844"/>
      <w:r>
        <w:rPr>
          <w:rFonts w:ascii="微软雅黑" w:hAnsi="微软雅黑" w:eastAsia="微软雅黑" w:cs="微软雅黑"/>
        </w:rPr>
        <w:t>4.4 已毕业用户的对照观察与适用边界</w:t>
      </w:r>
      <w:bookmarkEnd w:id="26"/>
    </w:p>
    <w:p w14:paraId="20A4C82B">
      <w:pPr>
        <w:pStyle w:val="178"/>
      </w:pPr>
      <w:r>
        <w:t>本章结论依据15名大学生核心样本与开发者A、B、C三个案例形成。另有6名已毕业Codex用户完成相同问题，作为对照样本。</w:t>
      </w:r>
    </w:p>
    <w:p w14:paraId="6C9FED04">
      <w:pPr>
        <w:pStyle w:val="19"/>
      </w:pPr>
      <w:r>
        <w:t>6名已毕业用户的当前任务完成能力均位于前三档；大学生核心样本中8人位于前三档、7人位于较低两档。</w:t>
      </w:r>
    </w:p>
    <w:p w14:paraId="4E5492A9">
      <w:pPr>
        <w:pStyle w:val="19"/>
      </w:pPr>
      <w:r>
        <w:t>整体价值方面，已毕业用户在“主要提效”和“两类价值对应不同任务”中各有3人；大学生用户分别为3人和11人，另有1人评价整体价值有限。两组样本均以大部分产出进入项目为主。</w:t>
      </w:r>
    </w:p>
    <w:p w14:paraId="1D8B3FED">
      <w:pPr>
        <w:pStyle w:val="19"/>
        <w:keepNext/>
        <w:spacing w:before="120" w:after="60"/>
      </w:pPr>
      <w:r>
        <w:rPr>
          <w:rFonts w:ascii="微软雅黑" w:hAnsi="微软雅黑" w:cs="微软雅黑"/>
        </w:rPr>
        <w:t>表4-7　大学生与已毕业Codex用户的对照结果</w:t>
      </w:r>
    </w:p>
    <w:tbl>
      <w:tblPr>
        <w:tblStyle w:val="35"/>
        <w:tblW w:w="5000" w:type="pct"/>
        <w:jc w:val="center"/>
        <w:tblBorders>
          <w:top w:val="single" w:color="9AA9B8" w:sz="4" w:space="0"/>
          <w:left w:val="single" w:color="9AA9B8" w:sz="4" w:space="0"/>
          <w:bottom w:val="single" w:color="9AA9B8" w:sz="4" w:space="0"/>
          <w:right w:val="single" w:color="9AA9B8" w:sz="4" w:space="0"/>
          <w:insideH w:val="single" w:color="9AA9B8" w:sz="4" w:space="0"/>
          <w:insideV w:val="single" w:color="9AA9B8" w:sz="4" w:space="0"/>
        </w:tblBorders>
        <w:tblLayout w:type="fixed"/>
        <w:tblCellMar>
          <w:top w:w="70" w:type="dxa"/>
          <w:left w:w="90" w:type="dxa"/>
          <w:bottom w:w="70" w:type="dxa"/>
          <w:right w:w="90" w:type="dxa"/>
        </w:tblCellMar>
      </w:tblPr>
      <w:tblGrid>
        <w:gridCol w:w="3142"/>
        <w:gridCol w:w="3141"/>
        <w:gridCol w:w="3141"/>
      </w:tblGrid>
      <w:tr w14:paraId="6897387D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tblHeader/>
          <w:jc w:val="center"/>
        </w:trPr>
        <w:tc>
          <w:tcPr>
            <w:tcW w:w="2640" w:type="dxa"/>
            <w:shd w:val="clear" w:color="auto" w:fill="DCE9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203B79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b/>
                <w:sz w:val="18"/>
              </w:rPr>
              <w:t>比较内容</w:t>
            </w:r>
          </w:p>
        </w:tc>
        <w:tc>
          <w:tcPr>
            <w:tcW w:w="2640" w:type="dxa"/>
            <w:shd w:val="clear" w:color="auto" w:fill="DCE9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96324D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b/>
                <w:sz w:val="18"/>
              </w:rPr>
              <w:t>大学生用户（N=15）</w:t>
            </w:r>
          </w:p>
        </w:tc>
        <w:tc>
          <w:tcPr>
            <w:tcW w:w="2640" w:type="dxa"/>
            <w:shd w:val="clear" w:color="auto" w:fill="DCE9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14874D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b/>
                <w:sz w:val="18"/>
              </w:rPr>
              <w:t>已毕业用户（N=6）</w:t>
            </w:r>
          </w:p>
        </w:tc>
      </w:tr>
      <w:tr w14:paraId="2C7A846C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26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5EF100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sz w:val="18"/>
              </w:rPr>
              <w:t>不使用AI完成当前任务</w:t>
            </w:r>
          </w:p>
        </w:tc>
        <w:tc>
          <w:tcPr>
            <w:tcW w:w="26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505276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3人基本能完成；5人能完成但效率或质量不稳定；7人只能完成少量或基本不能完成</w:t>
            </w:r>
          </w:p>
        </w:tc>
        <w:tc>
          <w:tcPr>
            <w:tcW w:w="26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783AF4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1人完全能熟练完成；1人基本能完成；4人能完成但效率或质量不稳定</w:t>
            </w:r>
          </w:p>
        </w:tc>
      </w:tr>
      <w:tr w14:paraId="4F2EE96E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264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36FEB8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sz w:val="18"/>
              </w:rPr>
              <w:t>Codex整体价值</w:t>
            </w:r>
          </w:p>
        </w:tc>
        <w:tc>
          <w:tcPr>
            <w:tcW w:w="264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D6D0BB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11人认为两类价值并存；3人认为主要提效；1人认为价值有限</w:t>
            </w:r>
          </w:p>
        </w:tc>
        <w:tc>
          <w:tcPr>
            <w:tcW w:w="264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126164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3人认为两类价值并存；3人认为主要提效</w:t>
            </w:r>
          </w:p>
        </w:tc>
      </w:tr>
      <w:tr w14:paraId="4D64A959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26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BE1254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sz w:val="18"/>
              </w:rPr>
              <w:t>产出进入项目</w:t>
            </w:r>
          </w:p>
        </w:tc>
        <w:tc>
          <w:tcPr>
            <w:tcW w:w="26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D1F388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11人大部分进入；2人修改后部分进入；2人少量进入</w:t>
            </w:r>
          </w:p>
        </w:tc>
        <w:tc>
          <w:tcPr>
            <w:tcW w:w="26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78B280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4人大部分进入；2人修改后部分进入</w:t>
            </w:r>
          </w:p>
        </w:tc>
      </w:tr>
      <w:tr w14:paraId="5645F472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264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C194CC">
            <w:pPr>
              <w:spacing w:after="0" w:line="240" w:lineRule="auto"/>
              <w:jc w:val="center"/>
            </w:pPr>
            <w:r>
              <w:rPr>
                <w:rFonts w:hint="eastAsia" w:ascii="微软雅黑" w:hAnsi="微软雅黑" w:cs="微软雅黑"/>
                <w:sz w:val="18"/>
              </w:rPr>
              <w:t>常见人工处理</w:t>
            </w:r>
          </w:p>
        </w:tc>
        <w:tc>
          <w:tcPr>
            <w:tcW w:w="264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762B4F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14人阅读后小改；10人运行测试；4人直接使用</w:t>
            </w:r>
          </w:p>
        </w:tc>
        <w:tc>
          <w:tcPr>
            <w:tcW w:w="2640" w:type="dxa"/>
            <w:shd w:val="clear" w:color="auto" w:fill="F6F8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6816F9">
            <w:pPr>
              <w:spacing w:after="0" w:line="240" w:lineRule="auto"/>
              <w:jc w:val="left"/>
            </w:pPr>
            <w:r>
              <w:rPr>
                <w:rFonts w:hint="eastAsia" w:ascii="微软雅黑" w:hAnsi="微软雅黑" w:cs="微软雅黑"/>
                <w:sz w:val="18"/>
              </w:rPr>
              <w:t>4人阅读后小改；4人直接使用；2人运行测试</w:t>
            </w:r>
          </w:p>
        </w:tc>
      </w:tr>
    </w:tbl>
    <w:p w14:paraId="54BFADC4">
      <w:pPr>
        <w:pStyle w:val="19"/>
      </w:pPr>
      <w:r>
        <w:rPr>
          <w:rFonts w:hint="eastAsia" w:ascii="微软雅黑" w:hAnsi="微软雅黑" w:cs="微软雅黑"/>
        </w:rPr>
        <w:t>样本508ed5b3描述了从方案讨论到原型测试的过程：</w:t>
      </w:r>
    </w:p>
    <w:p w14:paraId="587A2C7E">
      <w:pPr>
        <w:pStyle w:val="179"/>
      </w:pPr>
      <w:r>
        <w:rPr>
          <w:rFonts w:ascii="微软雅黑" w:hAnsi="微软雅黑" w:cs="微软雅黑"/>
        </w:rPr>
        <w:t>“比如我要实现某个功能的基础原型架构，用Codex先计划和讨论方案可行性，AI会给出3个较为相近的方案，个人评估实现难度或者架构难度以及时间后选择方案原型然后测试，最后结果基本上都是满意的，细节肯定没法一次过，再小修小改一下就可以了。”</w:t>
      </w:r>
      <w:r>
        <w:rPr>
          <w:rFonts w:ascii="微软雅黑" w:hAnsi="微软雅黑" w:cs="微软雅黑"/>
        </w:rPr>
        <w:br w:type="textWrapping"/>
      </w:r>
      <w:r>
        <w:rPr>
          <w:rFonts w:ascii="微软雅黑" w:hAnsi="微软雅黑" w:cs="微软雅黑"/>
        </w:rPr>
        <w:t>——已毕业问卷开放回答，样本508ed5b3</w:t>
      </w:r>
    </w:p>
    <w:p w14:paraId="6209B404">
      <w:pPr>
        <w:pStyle w:val="178"/>
      </w:pPr>
      <w:r>
        <w:t>该用户先讨论方案，再评估难度和时间、测试原型并调整细节，与大学生案例中的过程相似。</w:t>
      </w:r>
    </w:p>
    <w:p w14:paraId="294BD9EB">
      <w:pPr>
        <w:pStyle w:val="3"/>
      </w:pPr>
      <w:bookmarkStart w:id="27" w:name="_Toc236239845"/>
      <w:r>
        <w:t>第五章 生产端发现：以TapTap制造为案例锚点的一站式创作实践</w:t>
      </w:r>
      <w:bookmarkEnd w:id="27"/>
    </w:p>
    <w:p w14:paraId="5DF3C564">
      <w:pPr>
        <w:pStyle w:val="178"/>
      </w:pPr>
      <w:r>
        <w:t>本组记录显示，一站式平台获得的认可主要集中在原型形成、减少编码和快速验证，对调试、素材与逻辑整合的认可较弱。平台能够把创意推进为可以运行、试玩或测试的初步结果，但作品是否符合创作目标，仍需用户通过需求说明、方向选择、玩法测试和结果修改进行判断。后续创作问题集中在准确修改、玩法深化和表现统一。</w:t>
      </w:r>
    </w:p>
    <w:p w14:paraId="6BE86FEE">
      <w:pPr>
        <w:pStyle w:val="19"/>
      </w:pPr>
      <w:r>
        <w:t>本章分析6份大学生一站式平台记录。其中，</w:t>
      </w:r>
      <w:r>
        <w:rPr>
          <w:rFonts w:hint="eastAsia"/>
          <w:lang w:eastAsia="zh-CN"/>
        </w:rPr>
        <w:t>taptap制造样本</w:t>
      </w:r>
      <w:r>
        <w:t>《炉釜猪》记录呈现可试玩作品的修改过程，一份造化工坊开放回答补充其他平台中的实现调整。一份非学生TapTap制造发布记录用于观察已发布作品记录中的创作工作。</w:t>
      </w:r>
    </w:p>
    <w:p w14:paraId="4F1AFF29">
      <w:pPr>
        <w:pStyle w:val="4"/>
      </w:pPr>
      <w:bookmarkStart w:id="28" w:name="_Toc236239846"/>
      <w:r>
        <w:t>5.1 一站式平台主要用于形成原型并验证玩法</w:t>
      </w:r>
      <w:bookmarkEnd w:id="28"/>
    </w:p>
    <w:p w14:paraId="59BBB1EB">
      <w:pPr>
        <w:keepNext/>
        <w:spacing w:before="120" w:after="40"/>
        <w:jc w:val="center"/>
      </w:pPr>
      <w:r>
        <w:drawing>
          <wp:inline distT="0" distB="0" distL="0" distR="0">
            <wp:extent cx="5579745" cy="4901565"/>
            <wp:effectExtent l="0" t="0" r="0" b="0"/>
            <wp:docPr id="6" name="图5-1" descr="一站式平台用途、帮助、作品状态、生成后工作和困难的五分面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5-1" descr="一站式平台用途、帮助、作品状态、生成后工作和困难的五分面条形图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49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5F0A">
      <w:pPr>
        <w:pStyle w:val="173"/>
        <w:keepNext w:val="0"/>
        <w:keepLines/>
      </w:pPr>
      <w:r>
        <w:t>图5-1　一站式平台的主要用途、生成后工作与主要困难（N=6）</w:t>
      </w:r>
    </w:p>
    <w:p w14:paraId="333BADDE">
      <w:pPr>
        <w:pStyle w:val="5"/>
      </w:pPr>
      <w:bookmarkStart w:id="29" w:name="_Toc236239847"/>
      <w:r>
        <w:t>5.1.1 平台用途集中于形成可测试的初步结果</w:t>
      </w:r>
      <w:bookmarkEnd w:id="29"/>
    </w:p>
    <w:p w14:paraId="1389F013">
      <w:pPr>
        <w:pStyle w:val="178"/>
      </w:pPr>
      <w:r>
        <w:t>图5-1中，平台用途集中在从想法生成原型，较高评价集中在可玩逻辑形成、减少编码和快速验证。平台使用首先发生在原型形成和玩法验证阶段，用户获得的结果已经包含可供检查的作品形态和玩法逻辑。</w:t>
      </w:r>
    </w:p>
    <w:p w14:paraId="2DCBB4E3">
      <w:pPr>
        <w:pStyle w:val="19"/>
      </w:pPr>
      <w:r>
        <w:t>作品状态包括已生成基础版本、可运行或可试玩以及继续完善。平台形成的初步结果已经可以查看、操作或测试，用户据此检查玩法表现。这些状态对应从基础版本生成到实际测试的不同阶段，创意已经转化为具体作品。</w:t>
      </w:r>
    </w:p>
    <w:p w14:paraId="7AE733D7">
      <w:pPr>
        <w:pStyle w:val="5"/>
      </w:pPr>
      <w:bookmarkStart w:id="30" w:name="_Toc236239848"/>
      <w:r>
        <w:t>5.1.2 生成后的主要工作是说明需求、选择方向和修改结果</w:t>
      </w:r>
      <w:bookmarkEnd w:id="30"/>
    </w:p>
    <w:p w14:paraId="12BCB4F9">
      <w:pPr>
        <w:pStyle w:val="178"/>
      </w:pPr>
      <w:r>
        <w:t>生成之后，用户工作集中在继续描述需求、修改提示和选择生成方向。用户把创作目标写成具体要求，并对生成结果作出保留、修改或放弃的选择。表中的需求说明、方向选择、结果筛选和玩法测试，覆盖了生成后的主要操作。</w:t>
      </w:r>
    </w:p>
    <w:p w14:paraId="6C775D4A">
      <w:pPr>
        <w:pStyle w:val="19"/>
      </w:pPr>
      <w:r>
        <w:t>问卷记录的主要困难集中在需求表达、修改精度和玩法深度，分别对应目标说明、结果调整和玩法完善。这些工作分布在初步结果形成后的调整阶段：用户先说明希望实现的内容，再检查结果能否准确变化，并继续处理玩法逻辑。</w:t>
      </w:r>
    </w:p>
    <w:p w14:paraId="3A42DFDC">
      <w:pPr>
        <w:pStyle w:val="4"/>
      </w:pPr>
      <w:bookmarkStart w:id="31" w:name="_Toc236239849"/>
      <w:r>
        <w:t>5.2 生成结果在持续说明和测试中逐步接近创作目标</w:t>
      </w:r>
      <w:bookmarkEnd w:id="31"/>
    </w:p>
    <w:p w14:paraId="3292DE0E">
      <w:pPr>
        <w:pStyle w:val="178"/>
      </w:pPr>
      <w:r>
        <w:t>《炉釜猪》是一项使用TapTap制造完成的个人玩法实验，采用被动攻击式的类雷电玩法。记录提交时，玩法和系统已经形成，作品处于美术完善阶段。这份记录呈现了从整体方案输入到可试玩结果的调整过程。</w:t>
      </w:r>
    </w:p>
    <w:p w14:paraId="475D7E7A">
      <w:pPr>
        <w:pStyle w:val="5"/>
      </w:pPr>
      <w:bookmarkStart w:id="32" w:name="_Toc236239850"/>
      <w:r>
        <w:t>5.2.1 首轮结果需要补充限制条件和目标效果</w:t>
      </w:r>
      <w:bookmarkEnd w:id="32"/>
    </w:p>
    <w:p w14:paraId="68C9DB6B">
      <w:pPr>
        <w:pStyle w:val="178"/>
        <w:rPr>
          <w:lang w:eastAsia="zh-CN"/>
        </w:rPr>
      </w:pPr>
      <w:r>
        <w:t>创作者输入整体方案后，</w:t>
      </w:r>
      <w:r>
        <w:rPr>
          <w:rFonts w:hint="eastAsia"/>
          <w:lang w:eastAsia="zh-CN"/>
        </w:rPr>
        <w:t>taptap制造</w:t>
      </w:r>
      <w:r>
        <w:t>平台首轮生成的结果在玩法方向上明显偏离了预期——呈现更接近已有市场中的常见玩法，而非实验性玩法设想。创作者因此需要逐项说明哪些地方不是他想要的（排除项），以及实验性玩法的目标效果应该是什么样</w:t>
      </w:r>
      <w:r>
        <w:rPr>
          <w:rFonts w:hint="eastAsia"/>
          <w:lang w:eastAsia="zh-CN"/>
        </w:rPr>
        <w:t>：</w:t>
      </w:r>
    </w:p>
    <w:p w14:paraId="22F3948E">
      <w:pPr>
        <w:pStyle w:val="179"/>
      </w:pPr>
      <w:r>
        <w:t>“……呈现出来的结果明显偏向市面上的玩法，必须得详细的跟他说明哪些地方是我不要的，我要做到什么样的效果，才能实现我的想法。”</w:t>
      </w:r>
      <w:r>
        <w:br w:type="textWrapping"/>
      </w:r>
      <w:r>
        <w:t>——大学生问卷开放回答，样本31305bf4</w:t>
      </w:r>
    </w:p>
    <w:p w14:paraId="7596C8A6">
      <w:pPr>
        <w:pStyle w:val="5"/>
      </w:pPr>
      <w:bookmarkStart w:id="33" w:name="_Toc236239851"/>
      <w:r>
        <w:t>5.2.2 多轮说明、筛选和测试贯穿可试玩结果形成过程</w:t>
      </w:r>
      <w:bookmarkEnd w:id="33"/>
    </w:p>
    <w:p w14:paraId="349C89EF">
      <w:pPr>
        <w:pStyle w:val="178"/>
      </w:pPr>
      <w:r>
        <w:t>记录显示，《炉釜猪》经历7轮及以上调整，过程包含需求说明、玩法拆分、方向选择、结果筛选、提示修改和玩法测试。这些动作分别作用于方案输入、生成结果选择和实际玩法检查。</w:t>
      </w:r>
    </w:p>
    <w:p w14:paraId="74645297">
      <w:pPr>
        <w:pStyle w:val="19"/>
      </w:pPr>
      <w:r>
        <w:t>记录提交时，作品已达到可运行或可试玩状态，进入美术完善阶段。平台提供生成和修改结果，用户持续检查玩法、筛选结果并提出修改要求。可试玩结果由多轮生成、选择和测试共同构成。</w:t>
      </w:r>
    </w:p>
    <w:p w14:paraId="47C1509C">
      <w:pPr>
        <w:pStyle w:val="4"/>
      </w:pPr>
      <w:bookmarkStart w:id="34" w:name="_Toc236239852"/>
      <w:r>
        <w:t>5.3 平台支持创作启动，用户继续推进作品完善</w:t>
      </w:r>
      <w:bookmarkEnd w:id="34"/>
    </w:p>
    <w:p w14:paraId="5E3E3DEC">
      <w:pPr>
        <w:pStyle w:val="5"/>
        <w:rPr>
          <w:rFonts w:eastAsia="宋体"/>
          <w:lang w:eastAsia="zh-CN"/>
        </w:rPr>
      </w:pPr>
      <w:bookmarkStart w:id="35" w:name="_Toc236239853"/>
      <w:r>
        <w:t>5.3.1 平台把创意推进到实际测试阶段</w:t>
      </w:r>
      <w:r>
        <w:rPr>
          <w:rFonts w:hint="eastAsia" w:eastAsia="宋体"/>
          <w:lang w:eastAsia="zh-CN"/>
        </w:rPr>
        <w:t>，但首轮结果可能偏离设想，方向调整仍需用户判断</w:t>
      </w:r>
      <w:bookmarkEnd w:id="35"/>
    </w:p>
    <w:p w14:paraId="14DA6AFE">
      <w:pPr>
        <w:pStyle w:val="178"/>
      </w:pPr>
      <w:r>
        <w:t>一站式平台生成包含玩法逻辑的初步结果，使创意进入查看、操作和测试阶段。创作者围绕实际结果检查玩法方向，并继续修改作品。平台的直接作用体现在创意转化为可以实际检验的作品形态。</w:t>
      </w:r>
    </w:p>
    <w:p w14:paraId="1A47471A">
      <w:pPr>
        <w:pStyle w:val="178"/>
      </w:pPr>
      <w:r>
        <w:t>但首轮结果的方向可能偏离创作设想——例如本记录中生成的结果更接近已有常见玩法。创作者需要先判断偏差，再补充排除项和目标效果，才能把平台输出逐步推向实验性的玩法方向。</w:t>
      </w:r>
    </w:p>
    <w:p w14:paraId="3B7F6618">
      <w:pPr>
        <w:pStyle w:val="5"/>
      </w:pPr>
      <w:bookmarkStart w:id="36" w:name="_Toc236239854"/>
      <w:r>
        <w:t>5.3.2 可试玩状态与后续修改问题可以同时存在</w:t>
      </w:r>
      <w:bookmarkEnd w:id="36"/>
    </w:p>
    <w:p w14:paraId="217C82A8">
      <w:pPr>
        <w:pStyle w:val="178"/>
      </w:pPr>
      <w:r>
        <w:t>问卷同时记录了可运行或可试玩状态与修改不精确、玩法深度不足等困难。《炉釜猪》在可试玩状态下继续完善美术。可运行或可试玩之后，作品仍有准确修改、玩法深化和表现统一等工作，作品状态和后续工作在同一记录中同时出现。</w:t>
      </w:r>
    </w:p>
    <w:p w14:paraId="40AD3C00">
      <w:pPr>
        <w:pStyle w:val="5"/>
      </w:pPr>
      <w:bookmarkStart w:id="37" w:name="_Toc236239855"/>
      <w:r>
        <w:t>5.3.3 后续完善需要准确修改、玩法测试和表现统一</w:t>
      </w:r>
      <w:bookmarkEnd w:id="37"/>
    </w:p>
    <w:p w14:paraId="50E3A517">
      <w:pPr>
        <w:pStyle w:val="178"/>
      </w:pPr>
      <w:r>
        <w:t>平台需要继续支持局部修改、玩法测试、素材替换与统一，以及多轮调整。用户根据测试结果继续修改作品，作品方向和质量判断由创作者完成。</w:t>
      </w:r>
    </w:p>
    <w:p w14:paraId="48413C12">
      <w:pPr>
        <w:pStyle w:val="4"/>
      </w:pPr>
      <w:bookmarkStart w:id="38" w:name="_Toc236239856"/>
      <w:r>
        <w:t>5.4 补充观察：可运行与已发布记录仍包含持续调整</w:t>
      </w:r>
      <w:bookmarkEnd w:id="38"/>
    </w:p>
    <w:p w14:paraId="09AA5AC8">
      <w:pPr>
        <w:pStyle w:val="5"/>
      </w:pPr>
      <w:bookmarkStart w:id="39" w:name="_Toc236239857"/>
      <w:r>
        <w:t>5.4.1 实现方式调整后仍有玩法深化问题</w:t>
      </w:r>
      <w:bookmarkEnd w:id="39"/>
    </w:p>
    <w:p w14:paraId="67694EC5">
      <w:pPr>
        <w:pStyle w:val="178"/>
      </w:pPr>
      <w:r>
        <w:t>一份造化工坊开放记录显示，创作者制作电子桌宠时，先考虑原生H5，随后因表现力不足转向Electron。作品已经形成可运行或可试玩结果，创作者同时认为玩法逻辑较弱。这份记录同时呈现实现方式调整和玩法深化问题。</w:t>
      </w:r>
    </w:p>
    <w:p w14:paraId="4DFFCA89">
      <w:pPr>
        <w:pStyle w:val="5"/>
      </w:pPr>
      <w:bookmarkStart w:id="40" w:name="_Toc236239858"/>
      <w:r>
        <w:t>5.4.2 已发布个案仍包含测试、素材处理和精确修改</w:t>
      </w:r>
      <w:bookmarkEnd w:id="40"/>
    </w:p>
    <w:p w14:paraId="6909C3FB">
      <w:pPr>
        <w:pStyle w:val="178"/>
        <w:keepLines/>
      </w:pPr>
      <w:r>
        <w:t>一份非学生TapTap制造记录中的作品已经发布。该记录同时包含需求描述、玩法测试、素材替换、质量判断和修改不精确问题。已发布作品记录中仍可见测试、素材处理和精确修改等创作工作。</w:t>
      </w:r>
    </w:p>
    <w:p w14:paraId="36B068B3">
      <w:pPr>
        <w:pStyle w:val="3"/>
      </w:pPr>
      <w:bookmarkStart w:id="41" w:name="_Toc236239859"/>
      <w:r>
        <w:rPr>
          <w:rFonts w:ascii="微软雅黑" w:hAnsi="微软雅黑" w:eastAsia="微软雅黑"/>
          <w:color w:val="0F4761"/>
        </w:rPr>
        <w:t>第六章 消费端发现：大学生玩家对AI参与作品的评价</w:t>
      </w:r>
      <w:bookmarkEnd w:id="41"/>
    </w:p>
    <w:p w14:paraId="28AD5FD0">
      <w:pPr>
        <w:pStyle w:val="178"/>
      </w:pPr>
      <w:r>
        <w:rPr>
          <w:rFonts w:ascii="微软雅黑" w:hAnsi="微软雅黑"/>
          <w:color w:val="000000"/>
        </w:rPr>
        <w:t>本章回答大学生玩家如何感知AI参与、是否在意AI参与、依据什么评价作品，以及哪些条件影响继续游玩、推荐、关注、反馈和付费意愿。</w:t>
      </w:r>
    </w:p>
    <w:p w14:paraId="1E417EAA">
      <w:pPr>
        <w:pStyle w:val="19"/>
      </w:pPr>
      <w:r>
        <w:rPr>
          <w:rFonts w:ascii="微软雅黑" w:hAnsi="微软雅黑"/>
          <w:color w:val="000000"/>
        </w:rPr>
        <w:t>问卷主线为6名相关作品实际体验者（N=6），其答卷均写明体验的平台或作品。访谈中，开发者B与该组重叠，玩家D为独立直接体验个案，开发者A、C、E用于补充观察。69份大学生问卷中，44人回答未体验原因题，这44人均回答了AI标注态度题；AI标注态度题共有63人有效作答。</w:t>
      </w:r>
    </w:p>
    <w:p w14:paraId="51A4F9E7">
      <w:pPr>
        <w:pStyle w:val="4"/>
      </w:pPr>
      <w:bookmarkStart w:id="42" w:name="_Toc236239860"/>
      <w:r>
        <w:rPr>
          <w:rFonts w:ascii="微软雅黑" w:hAnsi="微软雅黑" w:eastAsia="微软雅黑"/>
          <w:color w:val="0F4761"/>
        </w:rPr>
        <w:t>6.1 问卷发现：AI参与认知、作品评价与支持意愿</w:t>
      </w:r>
      <w:bookmarkEnd w:id="42"/>
    </w:p>
    <w:p w14:paraId="4113EAF5">
      <w:pPr>
        <w:pStyle w:val="5"/>
      </w:pPr>
      <w:bookmarkStart w:id="43" w:name="_Toc236239861"/>
      <w:r>
        <w:rPr>
          <w:rFonts w:ascii="微软雅黑" w:hAnsi="微软雅黑" w:eastAsia="微软雅黑"/>
          <w:color w:val="0F4761"/>
        </w:rPr>
        <w:t>6.1.1 事先信息和视觉内容构成AI参与认知</w:t>
      </w:r>
      <w:bookmarkEnd w:id="43"/>
    </w:p>
    <w:p w14:paraId="3429A341">
      <w:pPr>
        <w:pStyle w:val="178"/>
      </w:pPr>
      <w:r>
        <w:rPr>
          <w:rFonts w:ascii="微软雅黑" w:hAnsi="微软雅黑"/>
          <w:color w:val="000000"/>
        </w:rPr>
        <w:t>6名相关作品实际体验者中，5人在体验前已经明确知道作品有AI参与，1人在体验后得知。5人的AI参与认知在游玩前已经形成。</w:t>
      </w:r>
    </w:p>
    <w:p w14:paraId="3C68BDD2">
      <w:pPr>
        <w:pStyle w:val="19"/>
      </w:pPr>
      <w:r>
        <w:rPr>
          <w:rFonts w:ascii="微软雅黑" w:hAnsi="微软雅黑"/>
          <w:color w:val="000000"/>
        </w:rPr>
        <w:t>6份开放回答在描述AI参与感受时均提到画面、画风、图像或美术，其中1人还提到剧情语句模板化和人物对话缺少自然的情绪逻辑（样本95a19a61、695daf6e、8b3f7094、860630e2、0af2e92e、d23e0029）。事先信息和视觉、文本内容共同构成了这组体验者的AI参与认知。</w:t>
      </w:r>
    </w:p>
    <w:p w14:paraId="1946E687">
      <w:pPr>
        <w:pStyle w:val="5"/>
      </w:pPr>
      <w:bookmarkStart w:id="44" w:name="_Toc236239862"/>
      <w:r>
        <w:rPr>
          <w:rFonts w:ascii="微软雅黑" w:hAnsi="微软雅黑" w:eastAsia="微软雅黑"/>
          <w:color w:val="0F4761"/>
        </w:rPr>
        <w:t>6.1.2 玩法清晰较易获得认可，反馈与视听品质评价较低</w:t>
      </w:r>
      <w:bookmarkEnd w:id="44"/>
    </w:p>
    <w:p w14:paraId="50067639">
      <w:pPr>
        <w:pStyle w:val="178"/>
      </w:pPr>
      <w:r>
        <w:rPr>
          <w:rFonts w:ascii="微软雅黑" w:hAnsi="微软雅黑"/>
          <w:color w:val="000000"/>
        </w:rPr>
        <w:t>玩法清晰的评价相对集中，目标反馈、美术质量和视觉统一性得到的较高评价较少。</w:t>
      </w:r>
    </w:p>
    <w:p w14:paraId="22F256DB">
      <w:pPr>
        <w:keepNext/>
        <w:spacing w:before="120" w:after="40"/>
        <w:jc w:val="center"/>
      </w:pPr>
      <w:r>
        <w:drawing>
          <wp:inline distT="0" distB="0" distL="0" distR="0">
            <wp:extent cx="5579745" cy="2504440"/>
            <wp:effectExtent l="0" t="0" r="0" b="0"/>
            <wp:docPr id="7" name="图6-1" descr="六名实际体验者对七个体验维度的分档评价堆叠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6-1" descr="六名实际体验者对七个体验维度的分档评价堆叠条形图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5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C37C">
      <w:pPr>
        <w:pStyle w:val="173"/>
        <w:keepNext w:val="0"/>
        <w:keepLines/>
      </w:pPr>
      <w:r>
        <w:t>图6-1　相关作品实际体验者对主要体验维度的评价（N=6）</w:t>
      </w:r>
    </w:p>
    <w:p w14:paraId="402A412A">
      <w:pPr>
        <w:pStyle w:val="178"/>
        <w:spacing w:after="0"/>
      </w:pPr>
    </w:p>
    <w:p w14:paraId="3012CF49">
      <w:pPr>
        <w:pStyle w:val="19"/>
      </w:pPr>
      <w:r>
        <w:rPr>
          <w:rFonts w:ascii="微软雅黑" w:hAnsi="微软雅黑"/>
          <w:color w:val="000000"/>
        </w:rPr>
        <w:t>玩法清晰有4人给4—5分，低分为0；目标反馈无人给4—5分，美术质量和视觉统一性各有2人给1—2分。体验者能够理解基础玩法，主要问题集中在操作、目标反馈、美术细节和视觉统一。开放回答进一步记录了文本模板化、人物对话生硬和画面细节粗糙。量表与开放回答共同呈现“基础玩法成立、局部完成质量不足”的评价。一名体验者具体指出：</w:t>
      </w:r>
    </w:p>
    <w:p w14:paraId="5CA6F3FE">
      <w:pPr>
        <w:pStyle w:val="179"/>
      </w:pPr>
      <w:r>
        <w:rPr>
          <w:rFonts w:ascii="微软雅黑" w:hAnsi="微软雅黑"/>
          <w:color w:val="000000"/>
        </w:rPr>
        <w:t>“部分剧情语句句式模板化，人物对话缺少自然的情绪逻辑。”</w:t>
      </w:r>
      <w:r>
        <w:rPr>
          <w:rFonts w:ascii="微软雅黑" w:hAnsi="微软雅黑"/>
          <w:color w:val="000000"/>
        </w:rPr>
        <w:br w:type="textWrapping"/>
      </w:r>
      <w:r>
        <w:rPr>
          <w:rFonts w:ascii="微软雅黑" w:hAnsi="微软雅黑"/>
          <w:color w:val="000000"/>
        </w:rPr>
        <w:t>——大学生问卷开放回答，样本860630e2</w:t>
      </w:r>
    </w:p>
    <w:p w14:paraId="0BEB3443">
      <w:pPr>
        <w:pStyle w:val="19"/>
      </w:pPr>
      <w:r>
        <w:rPr>
          <w:rFonts w:ascii="微软雅黑" w:hAnsi="微软雅黑"/>
          <w:color w:val="000000"/>
        </w:rPr>
        <w:t>开放回答记录了局部文本问题。量表中，文本自然度和整体完成度的6份回答全部位于3—5分。前者记录具体问题，后者记录整体评价。</w:t>
      </w:r>
    </w:p>
    <w:p w14:paraId="5940B1C6">
      <w:pPr>
        <w:pStyle w:val="5"/>
      </w:pPr>
      <w:bookmarkStart w:id="45" w:name="_Toc236239863"/>
      <w:r>
        <w:rPr>
          <w:rFonts w:ascii="微软雅黑" w:hAnsi="微软雅黑" w:eastAsia="微软雅黑"/>
          <w:color w:val="0F4761"/>
        </w:rPr>
        <w:t>6.1.3 AI参与评价呈现三种方向，支持意愿按行为分别形成</w:t>
      </w:r>
      <w:bookmarkEnd w:id="45"/>
    </w:p>
    <w:p w14:paraId="21F0E50E">
      <w:pPr>
        <w:pStyle w:val="178"/>
      </w:pPr>
      <w:r>
        <w:rPr>
          <w:rFonts w:ascii="微软雅黑" w:hAnsi="微软雅黑"/>
          <w:color w:val="000000"/>
        </w:rPr>
        <w:t>知道或感受到AI参与后，4人表示评价不变，1人更愿意尝试，1人略减分。6份回答呈现评价不变、更愿尝试和略减分三种方向。</w:t>
      </w:r>
    </w:p>
    <w:p w14:paraId="319001AF">
      <w:pPr>
        <w:keepNext/>
        <w:spacing w:before="120" w:after="40"/>
        <w:jc w:val="center"/>
      </w:pPr>
      <w:r>
        <w:drawing>
          <wp:inline distT="0" distB="0" distL="0" distR="0">
            <wp:extent cx="5579745" cy="2240915"/>
            <wp:effectExtent l="0" t="0" r="0" b="0"/>
            <wp:docPr id="8" name="图6-2" descr="六名实际体验者对信任与接受条件的分档评价堆叠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6-2" descr="六名实际体验者对信任与接受条件的分档评价堆叠条形图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2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D67DE">
      <w:pPr>
        <w:pStyle w:val="173"/>
        <w:keepNext w:val="0"/>
        <w:keepLines/>
      </w:pPr>
      <w:r>
        <w:t>图6-2　影响信任与接受的条件（相关作品实际体验者，N=6）</w:t>
      </w:r>
    </w:p>
    <w:p w14:paraId="3DA6B2EC">
      <w:pPr>
        <w:pStyle w:val="178"/>
        <w:spacing w:after="0"/>
      </w:pPr>
    </w:p>
    <w:p w14:paraId="3F2AEA91">
      <w:pPr>
        <w:pStyle w:val="19"/>
      </w:pPr>
      <w:r>
        <w:rPr>
          <w:rFonts w:ascii="微软雅黑" w:hAnsi="微软雅黑"/>
          <w:color w:val="000000"/>
        </w:rPr>
        <w:t>版权清晰、创作者用心、作品稳定性和玩法原创性均由6人给4-5分，AI标注透明有5人给4-5分、1人给3分。价格与付费方式则有3人给4-5分、2人给3分、1人给1-2分。质量、版权和创作者投入相关条件的判断较为集中，价格判断因人而异。</w:t>
      </w:r>
    </w:p>
    <w:p w14:paraId="6C75868D">
      <w:pPr>
        <w:keepNext/>
        <w:spacing w:before="120" w:after="40"/>
        <w:jc w:val="center"/>
      </w:pPr>
      <w:r>
        <w:drawing>
          <wp:inline distT="0" distB="0" distL="0" distR="0">
            <wp:extent cx="5579745" cy="1976755"/>
            <wp:effectExtent l="0" t="0" r="0" b="0"/>
            <wp:docPr id="9" name="图6-3" descr="六名实际体验者对五类支持行为的意愿评价堆叠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6-3" descr="六名实际体验者对五类支持行为的意愿评价堆叠条形图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19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7D32B">
      <w:pPr>
        <w:pStyle w:val="173"/>
        <w:keepNext w:val="0"/>
        <w:keepLines/>
      </w:pPr>
      <w:r>
        <w:t>图6-3　对各类支持行为的意愿评价（相关作品实际体验者，N=6）</w:t>
      </w:r>
    </w:p>
    <w:p w14:paraId="6E2D13E0">
      <w:pPr>
        <w:pStyle w:val="178"/>
        <w:spacing w:after="0"/>
      </w:pPr>
    </w:p>
    <w:p w14:paraId="526070EF">
      <w:pPr>
        <w:pStyle w:val="19"/>
        <w:rPr>
          <w:rFonts w:hint="eastAsia" w:ascii="微软雅黑" w:hAnsi="微软雅黑"/>
          <w:color w:val="000000"/>
        </w:rPr>
      </w:pPr>
      <w:r>
        <w:rPr>
          <w:rFonts w:ascii="微软雅黑" w:hAnsi="微软雅黑"/>
          <w:color w:val="000000"/>
        </w:rPr>
        <w:t>继续游玩有5人给4-5分，推荐和小额付费各有3人，关注和提交反馈各有4人。其中一名体验者对继续游玩给2分，对小额付费给4分，对提交反馈给5分。</w:t>
      </w:r>
    </w:p>
    <w:p w14:paraId="58D964B4">
      <w:pPr>
        <w:pStyle w:val="19"/>
        <w:rPr>
          <w:rFonts w:hint="eastAsia" w:ascii="微软雅黑" w:hAnsi="微软雅黑"/>
          <w:color w:val="000000"/>
          <w:lang w:eastAsia="zh-CN"/>
        </w:rPr>
      </w:pPr>
      <w:r>
        <w:rPr>
          <w:rFonts w:hint="eastAsia" w:ascii="微软雅黑" w:hAnsi="微软雅黑"/>
          <w:color w:val="000000"/>
          <w:lang w:eastAsia="zh-CN"/>
        </w:rPr>
        <w:t>具体到各个样本，样本0af2e92e认为纯AI美术容易被察觉，对AI参与略减分；其美术质量和视觉统一性均为2分，音效/音乐为1分，继续游玩和关注均为2分，但小额付费为4分、提交反馈为5分；样本695daf6e能够从画风感知AI参与，但对AI参与的评价不变；其耐玩性为1分，推荐为2分，关注和小额付费均为1分；样本860630e2指出画面粗糙和文本模板化，同时选择“更愿意尝试”，小额付费为5分。</w:t>
      </w:r>
    </w:p>
    <w:p w14:paraId="26F92C1A">
      <w:pPr>
        <w:pStyle w:val="19"/>
        <w:rPr>
          <w:rFonts w:hint="eastAsia" w:ascii="微软雅黑" w:hAnsi="微软雅黑"/>
          <w:color w:val="000000"/>
          <w:lang w:eastAsia="zh-CN"/>
        </w:rPr>
      </w:pPr>
      <w:r>
        <w:rPr>
          <w:rFonts w:hint="eastAsia" w:ascii="微软雅黑" w:hAnsi="微软雅黑"/>
          <w:color w:val="000000"/>
          <w:lang w:eastAsia="zh-CN"/>
        </w:rPr>
        <w:t>部分答卷同时出现AI美术减分和视觉质量低分，部分答卷对AI参与评价不变，但在耐玩性、推荐和付费上给出低分；具体质量问题也会与尝试兴趣和付费意愿同时出现。</w:t>
      </w:r>
    </w:p>
    <w:p w14:paraId="401DABB3">
      <w:pPr>
        <w:pStyle w:val="4"/>
      </w:pPr>
      <w:bookmarkStart w:id="46" w:name="_Toc236239864"/>
      <w:r>
        <w:rPr>
          <w:rFonts w:ascii="微软雅黑" w:hAnsi="微软雅黑" w:eastAsia="微软雅黑"/>
          <w:color w:val="0F4761"/>
        </w:rPr>
        <w:t>6.2 访谈发现：AI参与作品的价值判断</w:t>
      </w:r>
      <w:bookmarkEnd w:id="46"/>
    </w:p>
    <w:p w14:paraId="4D50CC17">
      <w:pPr>
        <w:pStyle w:val="178"/>
      </w:pPr>
      <w:r>
        <w:rPr>
          <w:rFonts w:ascii="微软雅黑" w:hAnsi="微软雅黑"/>
          <w:color w:val="000000"/>
        </w:rPr>
        <w:t>五名访谈对象分别具有开发者、玩家或双重经历。开发者B属于6.1的相关作品实际体验者（N=6），玩家D是独立直接体验个案，两者构成本节的主要体验材料；开发者A、C、E用于补充具体判断。</w:t>
      </w:r>
    </w:p>
    <w:p w14:paraId="2FB274EF">
      <w:pPr>
        <w:pStyle w:val="19"/>
        <w:keepNext/>
      </w:pPr>
      <w:r>
        <w:rPr>
          <w:rFonts w:ascii="微软雅黑" w:hAnsi="微软雅黑"/>
          <w:b/>
          <w:color w:val="000000"/>
        </w:rPr>
        <w:t>表6-4  访谈对象及其相关经历</w:t>
      </w:r>
    </w:p>
    <w:tbl>
      <w:tblPr>
        <w:tblStyle w:val="35"/>
        <w:tblW w:w="9360" w:type="dxa"/>
        <w:jc w:val="center"/>
        <w:tblBorders>
          <w:top w:val="single" w:color="9AA9B8" w:sz="4" w:space="0"/>
          <w:left w:val="single" w:color="9AA9B8" w:sz="4" w:space="0"/>
          <w:bottom w:val="single" w:color="9AA9B8" w:sz="4" w:space="0"/>
          <w:right w:val="single" w:color="9AA9B8" w:sz="4" w:space="0"/>
          <w:insideH w:val="single" w:color="9AA9B8" w:sz="4" w:space="0"/>
          <w:insideV w:val="single" w:color="9AA9B8" w:sz="4" w:space="0"/>
        </w:tblBorders>
        <w:tblLayout w:type="fixed"/>
        <w:tblCellMar>
          <w:top w:w="70" w:type="dxa"/>
          <w:left w:w="90" w:type="dxa"/>
          <w:bottom w:w="70" w:type="dxa"/>
          <w:right w:w="90" w:type="dxa"/>
        </w:tblCellMar>
      </w:tblPr>
      <w:tblGrid>
        <w:gridCol w:w="1680"/>
        <w:gridCol w:w="3360"/>
        <w:gridCol w:w="4320"/>
      </w:tblGrid>
      <w:tr w14:paraId="0EF96232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tblHeader/>
          <w:jc w:val="center"/>
        </w:trPr>
        <w:tc>
          <w:tcPr>
            <w:tcW w:w="1680" w:type="dxa"/>
            <w:tcBorders>
              <w:bottom w:val="single" w:color="000000" w:sz="6" w:space="0"/>
            </w:tcBorders>
            <w:shd w:val="clear" w:color="auto" w:fill="DCE9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3CC1D9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b/>
                <w:color w:val="000000"/>
                <w:sz w:val="18"/>
              </w:rPr>
              <w:t>访谈对象</w:t>
            </w:r>
          </w:p>
        </w:tc>
        <w:tc>
          <w:tcPr>
            <w:tcW w:w="3360" w:type="dxa"/>
            <w:tcBorders>
              <w:bottom w:val="single" w:color="000000" w:sz="6" w:space="0"/>
            </w:tcBorders>
            <w:shd w:val="clear" w:color="auto" w:fill="DCE9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5978B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b/>
                <w:color w:val="000000"/>
                <w:sz w:val="18"/>
              </w:rPr>
              <w:t>相关经历</w:t>
            </w:r>
          </w:p>
        </w:tc>
        <w:tc>
          <w:tcPr>
            <w:tcW w:w="4320" w:type="dxa"/>
            <w:tcBorders>
              <w:bottom w:val="single" w:color="000000" w:sz="6" w:space="0"/>
            </w:tcBorders>
            <w:shd w:val="clear" w:color="auto" w:fill="DCE9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F39720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b/>
                <w:color w:val="000000"/>
                <w:sz w:val="18"/>
              </w:rPr>
              <w:t>本章关注的判断</w:t>
            </w:r>
          </w:p>
        </w:tc>
      </w:tr>
      <w:tr w14:paraId="39422FC7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68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38DB27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color w:val="000000"/>
                <w:sz w:val="18"/>
              </w:rPr>
              <w:t>开发者A</w:t>
            </w:r>
          </w:p>
        </w:tc>
        <w:tc>
          <w:tcPr>
            <w:tcW w:w="336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3C297A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48小时Game Jam开发与线下试玩</w:t>
            </w:r>
          </w:p>
        </w:tc>
        <w:tc>
          <w:tcPr>
            <w:tcW w:w="432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102402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代码参与与美术、音效参与的感知差别</w:t>
            </w:r>
          </w:p>
        </w:tc>
      </w:tr>
      <w:tr w14:paraId="7D1D50F0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68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2FB0F9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color w:val="000000"/>
                <w:sz w:val="18"/>
              </w:rPr>
              <w:t>开发者B</w:t>
            </w:r>
          </w:p>
        </w:tc>
        <w:tc>
          <w:tcPr>
            <w:tcW w:w="336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A50578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Game Jam开发；AI角色扮演与酒馆产品体验</w:t>
            </w:r>
          </w:p>
        </w:tc>
        <w:tc>
          <w:tcPr>
            <w:tcW w:w="432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CF8B3B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AI参与环节、作品评价与模型、价格判断</w:t>
            </w:r>
          </w:p>
        </w:tc>
      </w:tr>
      <w:tr w14:paraId="65D08282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68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B706B7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color w:val="000000"/>
                <w:sz w:val="18"/>
              </w:rPr>
              <w:t>开发者C</w:t>
            </w:r>
          </w:p>
        </w:tc>
        <w:tc>
          <w:tcPr>
            <w:tcW w:w="336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897A50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Godot游戏开发与玩家体验</w:t>
            </w:r>
          </w:p>
        </w:tc>
        <w:tc>
          <w:tcPr>
            <w:tcW w:w="432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26351D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AI美术质量及其对付费意愿的影响</w:t>
            </w:r>
          </w:p>
        </w:tc>
      </w:tr>
      <w:tr w14:paraId="74D8109B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68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2BA16D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color w:val="000000"/>
                <w:sz w:val="18"/>
              </w:rPr>
              <w:t>玩家D</w:t>
            </w:r>
          </w:p>
        </w:tc>
        <w:tc>
          <w:tcPr>
            <w:tcW w:w="336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C912A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线下完整体验TapTap制造活动作品</w:t>
            </w:r>
          </w:p>
        </w:tc>
        <w:tc>
          <w:tcPr>
            <w:tcW w:w="432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B9C56F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玩法、操作、完成度与创作者控制</w:t>
            </w:r>
          </w:p>
        </w:tc>
      </w:tr>
      <w:tr w14:paraId="4D29A6F6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68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020FFC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color w:val="000000"/>
                <w:sz w:val="18"/>
              </w:rPr>
              <w:t>开发者E</w:t>
            </w:r>
          </w:p>
        </w:tc>
        <w:tc>
          <w:tcPr>
            <w:tcW w:w="336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2BEBD3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color w:val="000000"/>
                <w:sz w:val="18"/>
              </w:rPr>
              <w:t>Mod开发与玩家体验</w:t>
            </w:r>
          </w:p>
        </w:tc>
        <w:tc>
          <w:tcPr>
            <w:tcW w:w="432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02B6BF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代码与艺术内容的差别、游玩价值和创作主导</w:t>
            </w:r>
          </w:p>
        </w:tc>
      </w:tr>
    </w:tbl>
    <w:p w14:paraId="51F70295">
      <w:pPr>
        <w:pStyle w:val="178"/>
        <w:spacing w:after="0"/>
      </w:pPr>
    </w:p>
    <w:p w14:paraId="0C2AF875">
      <w:pPr>
        <w:pStyle w:val="5"/>
      </w:pPr>
      <w:bookmarkStart w:id="47" w:name="_Toc236239865"/>
      <w:r>
        <w:rPr>
          <w:rFonts w:ascii="微软雅黑" w:hAnsi="微软雅黑" w:eastAsia="微软雅黑"/>
          <w:color w:val="0F4761"/>
        </w:rPr>
        <w:t>6.2.1 美术、文本和音乐比代码更容易被注意</w:t>
      </w:r>
      <w:bookmarkEnd w:id="47"/>
    </w:p>
    <w:p w14:paraId="678A4A50">
      <w:pPr>
        <w:pStyle w:val="178"/>
      </w:pPr>
      <w:r>
        <w:rPr>
          <w:rFonts w:ascii="微软雅黑" w:hAnsi="微软雅黑"/>
          <w:color w:val="000000"/>
        </w:rPr>
        <w:t>具有开发者与玩家双重经历的开发者B认为，玩家更容易注意美术和文案，较少注意代码环节的AI参与。开发者A、E也把代码与美术、音效或音乐分开判断；开发者A认为，在作品质量相同的情况下，程序实现方式对玩家体验的影响较小。三名访谈对象都把美术、文案、音效或音乐放在代码之前讨论。玩家直接接触画面、文字、音乐和操作结果，代码实现过程较少进入评价。AI参与因此更多通过作品呈现被注意，美术和文本的完成质量也更容易影响整体判断。</w:t>
      </w:r>
    </w:p>
    <w:p w14:paraId="3F51C68A">
      <w:pPr>
        <w:pStyle w:val="19"/>
      </w:pPr>
      <w:r>
        <w:rPr>
          <w:rFonts w:ascii="微软雅黑" w:hAnsi="微软雅黑"/>
          <w:color w:val="000000"/>
        </w:rPr>
        <w:t>玩家D通过TapTap制造专场参与体验，在游玩前已经知道作品有AI参与；体验时，他直接评价玩法、操作和视觉表现。该个案同时记录了活动招募、事先知情和游玩评价。</w:t>
      </w:r>
    </w:p>
    <w:p w14:paraId="3F3A700E">
      <w:pPr>
        <w:pStyle w:val="5"/>
      </w:pPr>
      <w:bookmarkStart w:id="48" w:name="_Toc236239866"/>
      <w:r>
        <w:rPr>
          <w:rFonts w:ascii="微软雅黑" w:hAnsi="微软雅黑" w:eastAsia="微软雅黑"/>
          <w:color w:val="0F4761"/>
        </w:rPr>
        <w:t>6.2.2 玩法成立是基础，生成内容仍需创作者筛选和统一</w:t>
      </w:r>
      <w:bookmarkEnd w:id="48"/>
    </w:p>
    <w:p w14:paraId="3FE98D59">
      <w:pPr>
        <w:pStyle w:val="178"/>
      </w:pPr>
      <w:r>
        <w:rPr>
          <w:rFonts w:ascii="微软雅黑" w:hAnsi="微软雅黑"/>
          <w:color w:val="000000"/>
        </w:rPr>
        <w:t>玩法是否成立先于AI参与方式。玩家D首先肯定多人拍照聚会游戏的玩法创意和操作理解，也指出键位仍需优化；开发者B同样把好玩、数据平衡和美术表现作为评价重点。</w:t>
      </w:r>
    </w:p>
    <w:p w14:paraId="7DE05503">
      <w:pPr>
        <w:pStyle w:val="179"/>
      </w:pPr>
      <w:r>
        <w:rPr>
          <w:rFonts w:ascii="微软雅黑" w:hAnsi="微软雅黑"/>
          <w:color w:val="000000"/>
        </w:rPr>
        <w:t>“游戏的本质还是好玩……应该是开发者主导AI的审美。”</w:t>
      </w:r>
      <w:r>
        <w:rPr>
          <w:rFonts w:ascii="微软雅黑" w:hAnsi="微软雅黑"/>
          <w:color w:val="000000"/>
        </w:rPr>
        <w:br w:type="textWrapping"/>
      </w:r>
      <w:r>
        <w:rPr>
          <w:rFonts w:ascii="微软雅黑" w:hAnsi="微软雅黑"/>
          <w:color w:val="000000"/>
        </w:rPr>
        <w:t>——开发者B访谈</w:t>
      </w:r>
    </w:p>
    <w:p w14:paraId="222A5172">
      <w:pPr>
        <w:pStyle w:val="19"/>
      </w:pPr>
      <w:r>
        <w:rPr>
          <w:rFonts w:ascii="微软雅黑" w:hAnsi="微软雅黑"/>
          <w:color w:val="000000"/>
        </w:rPr>
        <w:t>生成内容是否经过创作者筛选和统一，直接进入质量判断。玩家D强调主创需要确定美术基调和整体情绪，再约束、筛选和后处理生成素材；开发者C指出画面节奏平均、局部细节用力过度；开发者E强调人应保持艺术创作主导。</w:t>
      </w:r>
    </w:p>
    <w:p w14:paraId="4C8357E8">
      <w:pPr>
        <w:pStyle w:val="179"/>
      </w:pPr>
      <w:r>
        <w:rPr>
          <w:rFonts w:ascii="微软雅黑" w:hAnsi="微软雅黑"/>
          <w:color w:val="000000"/>
        </w:rPr>
        <w:t>“如何呈现作品，这个是主创团队需要思考的问题。”</w:t>
      </w:r>
      <w:r>
        <w:rPr>
          <w:rFonts w:ascii="微软雅黑" w:hAnsi="微软雅黑"/>
          <w:color w:val="000000"/>
        </w:rPr>
        <w:br w:type="textWrapping"/>
      </w:r>
      <w:r>
        <w:rPr>
          <w:rFonts w:ascii="微软雅黑" w:hAnsi="微软雅黑"/>
          <w:color w:val="000000"/>
        </w:rPr>
        <w:t>——玩家D访谈</w:t>
      </w:r>
    </w:p>
    <w:p w14:paraId="65D042C9">
      <w:pPr>
        <w:pStyle w:val="19"/>
      </w:pPr>
      <w:r>
        <w:rPr>
          <w:rFonts w:ascii="微软雅黑" w:hAnsi="微软雅黑"/>
          <w:color w:val="000000"/>
        </w:rPr>
        <w:t>这些判断把质量问题指向生成后的处理。主创需要确定美术基调，筛选素材，修正局部细节并统一风格；相关工作不足时，玩家直接面对画面节奏、局部细节和整体协调问题。生成效率提高以后，素材筛选与统一仍然决定最终呈现。</w:t>
      </w:r>
    </w:p>
    <w:p w14:paraId="019EFB41">
      <w:pPr>
        <w:pStyle w:val="5"/>
      </w:pPr>
      <w:bookmarkStart w:id="49" w:name="_Toc236239867"/>
      <w:r>
        <w:rPr>
          <w:rFonts w:ascii="微软雅黑" w:hAnsi="微软雅黑" w:eastAsia="微软雅黑"/>
          <w:color w:val="0F4761"/>
        </w:rPr>
        <w:t>6.2.3 继续体验看玩法与流程，付费还看完成度、模型质量与价格</w:t>
      </w:r>
      <w:bookmarkEnd w:id="49"/>
    </w:p>
    <w:p w14:paraId="4B19A51C">
      <w:pPr>
        <w:pStyle w:val="178"/>
      </w:pPr>
      <w:r>
        <w:rPr>
          <w:rFonts w:ascii="微软雅黑" w:hAnsi="微软雅黑"/>
          <w:color w:val="000000"/>
        </w:rPr>
        <w:t>玩家D表示，玩法类型符合兴趣、流程完整可玩时，他愿意继续体验；付费则要看作品完成度和具体游戏质量。开发者B的付费判断集中在AI角色扮演产品的模型质量、内容开放性和价格结构：模型较弱而计费较高时，付费意愿会降低。</w:t>
      </w:r>
    </w:p>
    <w:p w14:paraId="31DFFB5D">
      <w:pPr>
        <w:pStyle w:val="19"/>
      </w:pPr>
      <w:r>
        <w:rPr>
          <w:rFonts w:ascii="微软雅黑" w:hAnsi="微软雅黑"/>
          <w:color w:val="000000"/>
        </w:rPr>
        <w:t>开发者C因明显的AI画面问题降低付费意愿，开发者E把游玩价值和人的艺术创作主导作为付费条件。继续体验首先看作品是否可玩并符合兴趣，付费还看完成度、模型质量、创作主导和价格匹配。</w:t>
      </w:r>
    </w:p>
    <w:p w14:paraId="78BAFC11">
      <w:pPr>
        <w:pStyle w:val="4"/>
      </w:pPr>
      <w:bookmarkStart w:id="50" w:name="_Toc236239868"/>
      <w:r>
        <w:rPr>
          <w:rFonts w:ascii="微软雅黑" w:hAnsi="微软雅黑" w:eastAsia="微软雅黑"/>
          <w:color w:val="0F4761"/>
        </w:rPr>
        <w:t>6.3 综合结论：作品质量是玩家评价AI参与作品的中心</w:t>
      </w:r>
      <w:bookmarkEnd w:id="50"/>
    </w:p>
    <w:p w14:paraId="38651DD9">
      <w:pPr>
        <w:pStyle w:val="178"/>
      </w:pPr>
      <w:r>
        <w:rPr>
          <w:rFonts w:ascii="微软雅黑" w:hAnsi="微软雅黑"/>
          <w:color w:val="000000"/>
        </w:rPr>
        <w:t>外部桌面研究记录Steam市场反馈，本研究问卷和访谈记录大学生实际体验后的评价。三类核心问题及其依据如下。</w:t>
      </w:r>
    </w:p>
    <w:p w14:paraId="1A36E979">
      <w:pPr>
        <w:pStyle w:val="19"/>
      </w:pPr>
      <w:r>
        <w:rPr>
          <w:rFonts w:ascii="微软雅黑" w:hAnsi="微软雅黑"/>
          <w:color w:val="000000"/>
        </w:rPr>
        <w:t>桌面研究引用的Game Oracle对2025年1—10月Steam平台9879款游戏的研究显示，声明使用AI的游戏首月评论数量平均比未使用AI的游戏低52.6%；两类游戏的评论中位数为4条和7条，零评论比例接近20%和15.2%。在评论数不少于100条的游戏中，两类游戏的好评率中位数为84.6%和88.3%。这组外部数据记录Steam市场反馈，本研究N=6问卷记录大学生实际体验后的评价。</w:t>
      </w:r>
    </w:p>
    <w:p w14:paraId="47A7800D">
      <w:pPr>
        <w:pStyle w:val="19"/>
        <w:keepNext/>
      </w:pPr>
      <w:r>
        <w:rPr>
          <w:rFonts w:ascii="微软雅黑" w:hAnsi="微软雅黑"/>
          <w:b/>
          <w:color w:val="000000"/>
        </w:rPr>
        <w:t>表6-5  第六章核心问题、前文主要依据与综合结论</w:t>
      </w:r>
    </w:p>
    <w:tbl>
      <w:tblPr>
        <w:tblStyle w:val="35"/>
        <w:tblW w:w="9360" w:type="dxa"/>
        <w:jc w:val="center"/>
        <w:tblBorders>
          <w:top w:val="single" w:color="9AA9B8" w:sz="4" w:space="0"/>
          <w:left w:val="single" w:color="9AA9B8" w:sz="4" w:space="0"/>
          <w:bottom w:val="single" w:color="9AA9B8" w:sz="4" w:space="0"/>
          <w:right w:val="single" w:color="9AA9B8" w:sz="4" w:space="0"/>
          <w:insideH w:val="single" w:color="9AA9B8" w:sz="4" w:space="0"/>
          <w:insideV w:val="single" w:color="9AA9B8" w:sz="4" w:space="0"/>
        </w:tblBorders>
        <w:tblLayout w:type="fixed"/>
        <w:tblCellMar>
          <w:top w:w="70" w:type="dxa"/>
          <w:left w:w="90" w:type="dxa"/>
          <w:bottom w:w="70" w:type="dxa"/>
          <w:right w:w="90" w:type="dxa"/>
        </w:tblCellMar>
      </w:tblPr>
      <w:tblGrid>
        <w:gridCol w:w="1680"/>
        <w:gridCol w:w="3840"/>
        <w:gridCol w:w="3840"/>
      </w:tblGrid>
      <w:tr w14:paraId="60D104FE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tblHeader/>
          <w:jc w:val="center"/>
        </w:trPr>
        <w:tc>
          <w:tcPr>
            <w:tcW w:w="1680" w:type="dxa"/>
            <w:tcBorders>
              <w:bottom w:val="single" w:color="000000" w:sz="6" w:space="0"/>
            </w:tcBorders>
            <w:shd w:val="clear" w:color="auto" w:fill="DCE9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E85C4B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b/>
                <w:color w:val="000000"/>
                <w:sz w:val="18"/>
              </w:rPr>
              <w:t>核心问题</w:t>
            </w:r>
          </w:p>
        </w:tc>
        <w:tc>
          <w:tcPr>
            <w:tcW w:w="3840" w:type="dxa"/>
            <w:tcBorders>
              <w:bottom w:val="single" w:color="000000" w:sz="6" w:space="0"/>
            </w:tcBorders>
            <w:shd w:val="clear" w:color="auto" w:fill="DCE9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29A6D4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b/>
                <w:color w:val="000000"/>
                <w:sz w:val="18"/>
              </w:rPr>
              <w:t>前文主要依据</w:t>
            </w:r>
          </w:p>
        </w:tc>
        <w:tc>
          <w:tcPr>
            <w:tcW w:w="3840" w:type="dxa"/>
            <w:tcBorders>
              <w:bottom w:val="single" w:color="000000" w:sz="6" w:space="0"/>
            </w:tcBorders>
            <w:shd w:val="clear" w:color="auto" w:fill="DCE9F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F1D6FA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b/>
                <w:color w:val="000000"/>
                <w:sz w:val="18"/>
              </w:rPr>
              <w:t>综合结论</w:t>
            </w:r>
          </w:p>
        </w:tc>
      </w:tr>
      <w:tr w14:paraId="727ABF11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68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B96BC0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color w:val="000000"/>
                <w:sz w:val="18"/>
              </w:rPr>
              <w:t>玩家如何认识AI参与</w:t>
            </w:r>
          </w:p>
        </w:tc>
        <w:tc>
          <w:tcPr>
            <w:tcW w:w="384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6778AB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相关作品实际体验者中，5人事先知道、1人体验后知道；6份开放回答均提到画面、画风、图像或美术；访谈补充代码与美术、文本和音乐在注意程度上的差别</w:t>
            </w:r>
          </w:p>
        </w:tc>
        <w:tc>
          <w:tcPr>
            <w:tcW w:w="384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8D22BE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事先信息和视觉、文本、音乐内容共同构成AI参与认知。</w:t>
            </w:r>
          </w:p>
        </w:tc>
      </w:tr>
      <w:tr w14:paraId="6D1B32AE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68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00EC87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color w:val="000000"/>
                <w:sz w:val="18"/>
              </w:rPr>
              <w:t>市场反馈与体验后评价</w:t>
            </w:r>
          </w:p>
        </w:tc>
        <w:tc>
          <w:tcPr>
            <w:tcW w:w="384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7EF2E6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外部桌面研究：AI作品的评论量、零评论比例和好评率等市场反馈较弱；本研究材料：6名体验者中4人评价不变、1人更愿尝试、1人略减分，图6-1呈现玩法、反馈、视觉和完成度评价</w:t>
            </w:r>
          </w:p>
        </w:tc>
        <w:tc>
          <w:tcPr>
            <w:tcW w:w="3840" w:type="dxa"/>
            <w:shd w:val="clear" w:color="auto" w:fill="F6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39450F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外部研究中的AI作品市场反馈较弱；本研究实际体验者的评价集中在玩法、反馈、视觉和完成度。</w:t>
            </w:r>
          </w:p>
        </w:tc>
      </w:tr>
      <w:tr w14:paraId="42B0A839">
        <w:tblPrEx>
          <w:tblBorders>
            <w:top w:val="single" w:color="9AA9B8" w:sz="4" w:space="0"/>
            <w:left w:val="single" w:color="9AA9B8" w:sz="4" w:space="0"/>
            <w:bottom w:val="single" w:color="9AA9B8" w:sz="4" w:space="0"/>
            <w:right w:val="single" w:color="9AA9B8" w:sz="4" w:space="0"/>
            <w:insideH w:val="single" w:color="9AA9B8" w:sz="4" w:space="0"/>
            <w:insideV w:val="single" w:color="9AA9B8" w:sz="4" w:space="0"/>
          </w:tblBorders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cantSplit/>
          <w:jc w:val="center"/>
        </w:trPr>
        <w:tc>
          <w:tcPr>
            <w:tcW w:w="168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741C12">
            <w:pPr>
              <w:spacing w:after="0" w:line="240" w:lineRule="auto"/>
              <w:jc w:val="center"/>
            </w:pPr>
            <w:r>
              <w:rPr>
                <w:rFonts w:ascii="微软雅黑" w:hAnsi="微软雅黑"/>
                <w:color w:val="000000"/>
                <w:sz w:val="18"/>
              </w:rPr>
              <w:t>支持意愿如何形成</w:t>
            </w:r>
          </w:p>
        </w:tc>
        <w:tc>
          <w:tcPr>
            <w:tcW w:w="384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65B6E1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图6-2显示质量、版权和创作者投入条件较集中，价格为3人较高、2人中等、1人较低；图6-3显示五类意愿并不同步；访谈区分继续体验与付费条件</w:t>
            </w:r>
          </w:p>
        </w:tc>
        <w:tc>
          <w:tcPr>
            <w:tcW w:w="384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25B57E">
            <w:pPr>
              <w:spacing w:after="0" w:line="240" w:lineRule="auto"/>
              <w:jc w:val="left"/>
            </w:pPr>
            <w:r>
              <w:rPr>
                <w:rFonts w:ascii="微软雅黑" w:hAnsi="微软雅黑"/>
                <w:color w:val="000000"/>
                <w:sz w:val="18"/>
              </w:rPr>
              <w:t>继续游玩、推荐、关注、反馈和付费分别形成；继续体验主要看玩法与流程，付费还看完成度、模型质量和价格匹配。</w:t>
            </w:r>
          </w:p>
        </w:tc>
      </w:tr>
    </w:tbl>
    <w:p w14:paraId="0E325985">
      <w:pPr>
        <w:rPr>
          <w:rFonts w:hint="eastAsia" w:ascii="微软雅黑" w:hAnsi="微软雅黑" w:cs="微软雅黑"/>
          <w:szCs w:val="21"/>
          <w:lang w:eastAsia="zh-CN"/>
        </w:rPr>
      </w:pPr>
      <w:r>
        <w:rPr>
          <w:rFonts w:hint="eastAsia" w:ascii="微软雅黑" w:hAnsi="微软雅黑" w:cs="微软雅黑"/>
          <w:szCs w:val="21"/>
        </w:rPr>
        <w:t>玩家从接触作品走向继续游玩、推荐和付费，要经过作品发现、实际质量判断和价值判断三个环节。AI参与呈现加分、不变和减分三种方向；阻碍后续支持的具体问题集中在反馈、美术与文本完成度、素材统一、模型质量和价格匹配。</w:t>
      </w:r>
    </w:p>
    <w:p w14:paraId="3CA0E961">
      <w:pPr>
        <w:pStyle w:val="5"/>
      </w:pPr>
      <w:bookmarkStart w:id="51" w:name="_Toc236239869"/>
      <w:r>
        <w:rPr>
          <w:rFonts w:ascii="微软雅黑" w:hAnsi="微软雅黑" w:eastAsia="微软雅黑"/>
          <w:color w:val="0F4761"/>
        </w:rPr>
        <w:t>6.3.1 玩家评价与质量筛选构成平台突破口</w:t>
      </w:r>
      <w:bookmarkEnd w:id="51"/>
    </w:p>
    <w:p w14:paraId="04261292">
      <w:pPr>
        <w:pStyle w:val="178"/>
        <w:rPr>
          <w:rFonts w:hint="eastAsia" w:ascii="微软雅黑" w:hAnsi="微软雅黑"/>
          <w:color w:val="000000"/>
        </w:rPr>
      </w:pPr>
      <w:r>
        <w:rPr>
          <w:rFonts w:ascii="微软雅黑" w:hAnsi="微软雅黑"/>
          <w:color w:val="000000"/>
        </w:rPr>
        <w:t>平台的产品天花板在作品质量。生成效率提高以后，创作者仍需完成玩法调整、目标反馈、美术统一、文本修改和整体打磨。平台的突破口是围绕玩家遇到的三类问题补充功能：作品发布、搜索和精选推荐帮助玩家找到作品；实际游玩评价、分项评分和AI参与说明帮助玩家判断作品；更新记录和创作者回应把具体问题交给创作者继续修改。评价功能负责发现和整理问题，作品质量由创作者通过实际修改提升。</w:t>
      </w:r>
    </w:p>
    <w:p w14:paraId="43A326D5">
      <w:pPr>
        <w:pStyle w:val="4"/>
      </w:pPr>
      <w:bookmarkStart w:id="52" w:name="_Toc236239870"/>
      <w:r>
        <w:rPr>
          <w:rFonts w:ascii="微软雅黑" w:hAnsi="微软雅黑" w:eastAsia="微软雅黑"/>
          <w:color w:val="0F4761"/>
        </w:rPr>
        <w:t>6.4 补充观察：首次体验障碍与AI标注态度</w:t>
      </w:r>
      <w:bookmarkEnd w:id="52"/>
    </w:p>
    <w:p w14:paraId="65159145">
      <w:pPr>
        <w:pStyle w:val="178"/>
      </w:pPr>
      <w:r>
        <w:rPr>
          <w:rFonts w:ascii="微软雅黑" w:hAnsi="微软雅黑"/>
          <w:color w:val="000000"/>
        </w:rPr>
        <w:t>以下结果均来自69份大学生问卷。未体验原因题有44人有效作答，这44人均回答了AI标注态度题；AI标注态度题共有63人有效作答，其中还包括另外19人。</w:t>
      </w:r>
    </w:p>
    <w:p w14:paraId="0772E062">
      <w:pPr>
        <w:pStyle w:val="5"/>
      </w:pPr>
      <w:bookmarkStart w:id="53" w:name="_Toc236239871"/>
      <w:r>
        <w:rPr>
          <w:rFonts w:ascii="微软雅黑" w:hAnsi="微软雅黑" w:eastAsia="微软雅黑"/>
          <w:color w:val="0F4761"/>
        </w:rPr>
        <w:t>6.4.1 知名度、发现渠道与质量担忧限制首次体验</w:t>
      </w:r>
      <w:bookmarkEnd w:id="53"/>
    </w:p>
    <w:p w14:paraId="5D16BAAF">
      <w:pPr>
        <w:pStyle w:val="178"/>
      </w:pPr>
      <w:r>
        <w:rPr>
          <w:rFonts w:ascii="微软雅黑" w:hAnsi="微软雅黑"/>
          <w:color w:val="000000"/>
        </w:rPr>
        <w:t>在回答未体验原因的44名大学生中，17人（38.6%）没听说过相关作品，13人（29.5%）担心质量差，10人（22.7%）找不到作品。知名度、质量担忧和获取渠道是最集中的首次体验障碍。</w:t>
      </w:r>
    </w:p>
    <w:p w14:paraId="4C04B66C">
      <w:pPr>
        <w:keepNext/>
        <w:spacing w:before="120" w:after="40"/>
        <w:jc w:val="center"/>
      </w:pPr>
      <w:r>
        <w:drawing>
          <wp:inline distT="0" distB="0" distL="0" distR="0">
            <wp:extent cx="5579745" cy="2237740"/>
            <wp:effectExtent l="0" t="0" r="0" b="0"/>
            <wp:docPr id="10" name="图6-6" descr="四十四名未实际体验者的未体验原因横向条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6-6" descr="四十四名未实际体验者的未体验原因横向条形图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2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727D2">
      <w:pPr>
        <w:pStyle w:val="173"/>
        <w:keepNext w:val="0"/>
        <w:keepLines/>
      </w:pPr>
      <w:r>
        <w:t>图6-4　未实际体验一站式AI平台作品的原因（N=44，多选）</w:t>
      </w:r>
    </w:p>
    <w:p w14:paraId="381F9448">
      <w:pPr>
        <w:pStyle w:val="178"/>
        <w:spacing w:after="0"/>
      </w:pPr>
    </w:p>
    <w:p w14:paraId="2E8864B3">
      <w:pPr>
        <w:pStyle w:val="19"/>
      </w:pPr>
      <w:r>
        <w:rPr>
          <w:rFonts w:ascii="微软雅黑" w:hAnsi="微软雅黑"/>
          <w:color w:val="000000"/>
        </w:rPr>
        <w:t>注：该题为多选题，各项占比之和超过100%。</w:t>
      </w:r>
    </w:p>
    <w:p w14:paraId="418BF900">
      <w:pPr>
        <w:pStyle w:val="5"/>
      </w:pPr>
      <w:bookmarkStart w:id="54" w:name="_Toc236239872"/>
      <w:r>
        <w:rPr>
          <w:rFonts w:ascii="微软雅黑" w:hAnsi="微软雅黑" w:eastAsia="微软雅黑"/>
          <w:color w:val="0F4761"/>
        </w:rPr>
        <w:t>6.4.2 AI标注要求与体验后评价指向不同问题</w:t>
      </w:r>
      <w:bookmarkEnd w:id="54"/>
    </w:p>
    <w:p w14:paraId="31DC43E7">
      <w:pPr>
        <w:pStyle w:val="178"/>
      </w:pPr>
      <w:r>
        <w:rPr>
          <w:rFonts w:ascii="微软雅黑" w:hAnsi="微软雅黑"/>
          <w:color w:val="000000"/>
        </w:rPr>
        <w:t>在有效回答AI参与标注题的63名大学生中，30人（47.6%）认为必须明确标注，17人（27.0%）认为重要环节应当标注，合计47人（74.6%）希望作品至少说明关键AI参与情况。较广泛样本对信息透明有明确要求。</w:t>
      </w:r>
    </w:p>
    <w:p w14:paraId="6A25B2A8">
      <w:pPr>
        <w:keepNext/>
        <w:spacing w:before="120" w:after="40"/>
        <w:jc w:val="center"/>
      </w:pPr>
      <w:r>
        <w:drawing>
          <wp:inline distT="0" distB="0" distL="0" distR="0">
            <wp:extent cx="3599815" cy="2032000"/>
            <wp:effectExtent l="0" t="0" r="0" b="0"/>
            <wp:docPr id="11" name="图6-7" descr="六十三名大学生对AI参与标注态度的环形扇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6-7" descr="六十三名大学生对AI参与标注态度的环形扇形图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3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3CAA5">
      <w:pPr>
        <w:pStyle w:val="173"/>
        <w:keepNext w:val="0"/>
        <w:keepLines/>
      </w:pPr>
      <w:r>
        <w:t>图6-5　大学生对AI参与标注的态度（N=63）</w:t>
      </w:r>
    </w:p>
    <w:p w14:paraId="1AC20033">
      <w:pPr>
        <w:pStyle w:val="19"/>
        <w:rPr>
          <w:rFonts w:hint="eastAsia" w:ascii="微软雅黑" w:hAnsi="微软雅黑"/>
          <w:color w:val="000000"/>
        </w:rPr>
      </w:pPr>
      <w:r>
        <w:rPr>
          <w:rFonts w:ascii="微软雅黑" w:hAnsi="微软雅黑"/>
          <w:color w:val="000000"/>
        </w:rPr>
        <w:t>6名相关作品实际体验者中，5人对AI标注透明给4-5分；知道或感受到AI参与后，4人表示评价不变。N=6呈现实际体验后的评价，N=63呈现大学生对AI标注的态度。</w:t>
      </w:r>
    </w:p>
    <w:p w14:paraId="1F8E595B">
      <w:pPr>
        <w:pStyle w:val="19"/>
        <w:rPr>
          <w:rFonts w:hint="eastAsia" w:ascii="微软雅黑" w:hAnsi="微软雅黑"/>
          <w:color w:val="000000"/>
        </w:rPr>
      </w:pPr>
      <w:r>
        <w:rPr>
          <w:rFonts w:ascii="微软雅黑" w:hAnsi="微软雅黑"/>
          <w:color w:val="000000"/>
        </w:rPr>
        <w:t>AI标注用于交代作品在哪些环节使用AI，实际游玩评价用于呈现玩法、美术、文本和完成度。平台需要同时提供参与说明和作品评价。</w:t>
      </w:r>
    </w:p>
    <w:p w14:paraId="3306ADB5">
      <w:pPr>
        <w:pStyle w:val="3"/>
      </w:pPr>
      <w:bookmarkStart w:id="55" w:name="_Toc236239873"/>
      <w:r>
        <w:t>第七章 综合结论</w:t>
      </w:r>
      <w:bookmarkEnd w:id="55"/>
    </w:p>
    <w:p w14:paraId="2242D4B1">
      <w:pPr>
        <w:pStyle w:val="178"/>
      </w:pPr>
      <w:r>
        <w:t>本章依据第四至第六章已有结论，分别回答大学生开发者使用Codex、一站式平台创作和相关作品实际体验三个核心问题，并归纳三部分材料共同指向的判断。</w:t>
      </w:r>
    </w:p>
    <w:p w14:paraId="78E65F44">
      <w:pPr>
        <w:pStyle w:val="4"/>
      </w:pPr>
      <w:bookmarkStart w:id="56" w:name="_Toc236239874"/>
      <w:r>
        <w:t>7.1 Codex在大学生游戏程序工作流中的使用结论</w:t>
      </w:r>
      <w:bookmarkEnd w:id="56"/>
    </w:p>
    <w:p w14:paraId="38E1B328">
      <w:pPr>
        <w:pStyle w:val="178"/>
      </w:pPr>
      <w:r>
        <w:t>当前Codex核心样本使用Codex的主要诉求，是更快形成可继续检查和修改的程序结果，并减少重复劳动。提效与能力补足可以出现在不同任务中：开发者在熟悉任务中压缩实现时间，在不熟悉或暂时缺少思路的任务中先形成原型或方案，再继续判断和处理。</w:t>
      </w:r>
    </w:p>
    <w:p w14:paraId="45A2DE52">
      <w:pPr>
        <w:pStyle w:val="19"/>
      </w:pPr>
      <w:r>
        <w:t>这一使用方式贯穿目标与范围设定、代码生成或修改、阅读和运行检查、反馈调整与项目接入。开发者先把创作目标整理为具体任务，并根据项目周期和已有结构限定处理范围；获得结果后，再通过阅读、运行、逻辑检查或试玩发现偏差，提出修改要求并决定哪些内容进入项目。</w:t>
      </w:r>
    </w:p>
    <w:p w14:paraId="1437D2FF">
      <w:pPr>
        <w:pStyle w:val="19"/>
      </w:pPr>
      <w:r>
        <w:t>当前Codex核心样本在基础功能、原型形成和重复编写等环节推进较顺利，受阻环节主要涉及要求遗漏、实现方式偏离项目习惯、界面或效果不符合预期、运行错误，以及复杂任务需要补充参考材料。程序结果继续进入项目，仍需经过任务拆分、方案确认、运行验收和项目接入等人工处理。</w:t>
      </w:r>
    </w:p>
    <w:p w14:paraId="3CA646FF">
      <w:pPr>
        <w:pStyle w:val="4"/>
      </w:pPr>
      <w:bookmarkStart w:id="57" w:name="_Toc236239875"/>
      <w:r>
        <w:t>7.2 以TapTap制造为核心锚点的一站式平台创作结论</w:t>
      </w:r>
      <w:bookmarkEnd w:id="57"/>
    </w:p>
    <w:p w14:paraId="51FE6D9E">
      <w:pPr>
        <w:pStyle w:val="178"/>
      </w:pPr>
      <w:r>
        <w:t>以TapTap制造为</w:t>
      </w:r>
      <w:r>
        <w:rPr>
          <w:rFonts w:hint="eastAsia"/>
          <w:lang w:eastAsia="zh-CN"/>
        </w:rPr>
        <w:t>案例</w:t>
      </w:r>
      <w:r>
        <w:t>锚点的一站式平台主要支持创作启动、原型形成和玩法验证。平台可以把想法推进为能够查看、操作和测试的初步结果，降低创作启动阶段的编码负担；作品进入可运行或可试玩状态后，仍需持续修改才能接近创作目标。</w:t>
      </w:r>
    </w:p>
    <w:p w14:paraId="28C01D18">
      <w:pPr>
        <w:pStyle w:val="19"/>
      </w:pPr>
      <w:r>
        <w:t>这组一站式平台创作记录呈现了从整体设想、首轮结果，到补充排除项和目标效果，再到多轮筛选、修改和玩法测试的过程。创作者需要根据实际结果继续说明需求、选择方向、保留或放弃生成内容，并通过测试判断玩法是否成立。创作推进依赖生成与人工选择、检查和修改的连续配合。</w:t>
      </w:r>
    </w:p>
    <w:p w14:paraId="6D28DB43">
      <w:pPr>
        <w:pStyle w:val="19"/>
      </w:pPr>
      <w:r>
        <w:t>主要受阻条件集中在需求难以准确表达、局部修改不够精确、玩法深度不足，以及素材和逻辑难以统一。初步结果解决的是创意能否进入实际检验的问题，作品完成还需要继续处理玩法、操作反馈、素材和整体表现。</w:t>
      </w:r>
    </w:p>
    <w:p w14:paraId="5370865C">
      <w:pPr>
        <w:pStyle w:val="4"/>
      </w:pPr>
      <w:bookmarkStart w:id="58" w:name="_Toc236239876"/>
      <w:r>
        <w:t>7.3 实际体验过一站式AI平台作品的大学生玩家评价</w:t>
      </w:r>
      <w:bookmarkEnd w:id="58"/>
    </w:p>
    <w:p w14:paraId="1EDF5C5A">
      <w:pPr>
        <w:pStyle w:val="178"/>
      </w:pPr>
      <w:r>
        <w:t>在经平台或作品线索、实际游玩深度和答卷一致性复核后纳入的6名大学生实际体验者中，AI参与本身没有形成一致的加分或减分。评价仍主要围绕玩法是否清晰、操作与目标反馈、视觉与文本表现以及整体完成质量形成。</w:t>
      </w:r>
    </w:p>
    <w:p w14:paraId="79E6B5DE">
      <w:pPr>
        <w:pStyle w:val="19"/>
      </w:pPr>
      <w:r>
        <w:t>这些实际体验者主要通过事先信息和作品直接呈现的内容理解AI参与，美术、画面和文本比程序实现方式更容易进入评价。玩家首先判断玩法能否成立，再结合操作、反馈、视听品质、文本自然度和整体统一评价作品。AI参与只有通过这些具体呈现进入体验，作品质量仍是评价的主要依据。</w:t>
      </w:r>
    </w:p>
    <w:p w14:paraId="22DC094D">
      <w:pPr>
        <w:pStyle w:val="19"/>
      </w:pPr>
      <w:r>
        <w:t>知道或感受到AI参与后，实际体验者对作品的评价方向并不一致，继续游玩、推荐、关注和提交反馈也分别形成选择。</w:t>
      </w:r>
    </w:p>
    <w:p w14:paraId="6E5D87FE">
      <w:pPr>
        <w:pStyle w:val="4"/>
      </w:pPr>
      <w:bookmarkStart w:id="59" w:name="_Toc236239877"/>
      <w:r>
        <w:t>7.4 三部分材料的共同判断</w:t>
      </w:r>
      <w:bookmarkEnd w:id="59"/>
    </w:p>
    <w:p w14:paraId="1536FDE2">
      <w:pPr>
        <w:pStyle w:val="178"/>
      </w:pPr>
      <w:r>
        <w:t>AI参与需要先形成可以检查、修改或体验的具体结果，才能进入人的判断。当前Codex核心样本关注程序结果能否检查、修改和接入项目；这组</w:t>
      </w:r>
      <w:r>
        <w:rPr>
          <w:rFonts w:hint="eastAsia"/>
          <w:lang w:eastAsia="zh-CN"/>
        </w:rPr>
        <w:t>以</w:t>
      </w:r>
      <w:r>
        <w:rPr>
          <w:rFonts w:hint="eastAsia"/>
          <w:lang w:val="en-US" w:eastAsia="zh-CN"/>
        </w:rPr>
        <w:t>TapTap制造</w:t>
      </w:r>
      <w:r>
        <w:rPr>
          <w:rFonts w:hint="eastAsia"/>
          <w:lang w:eastAsia="zh-CN"/>
        </w:rPr>
        <w:t>为</w:t>
      </w:r>
      <w:r>
        <w:rPr>
          <w:rFonts w:hint="eastAsia"/>
          <w:lang w:val="en-US" w:eastAsia="zh-CN"/>
        </w:rPr>
        <w:t>案例</w:t>
      </w:r>
      <w:r>
        <w:rPr>
          <w:rFonts w:hint="eastAsia"/>
          <w:lang w:eastAsia="zh-CN"/>
        </w:rPr>
        <w:t>锚点的</w:t>
      </w:r>
      <w:r>
        <w:t>一站式平台创作记录关注想法能否转化为可测试作品；本次相关作品实际体验者依据作品呈现判断玩法、反馈、视觉、文本和完成质量。</w:t>
      </w:r>
    </w:p>
    <w:p w14:paraId="79B67C13">
      <w:pPr>
        <w:pStyle w:val="19"/>
      </w:pPr>
      <w:r>
        <w:t>三部分中人的工作处在不同位置，但共同指向结果形成之后的判断和处理。Codex使用者设定任务范围、检查运行并决定项目接入；一站式平台创作者说明需求、选择方向、筛选结果和测试玩法；实际体验者根据作品质量决定是否继续游玩、推荐、关注或反馈。初步结果提供了继续处理的对象，最终质量仍由具体任务中的检查、修改和选择形成。</w:t>
      </w:r>
    </w:p>
    <w:p w14:paraId="68C2CED9">
      <w:pPr>
        <w:pStyle w:val="19"/>
      </w:pPr>
      <w:r>
        <w:t>前期预设据此作出三点修正：对Codex的判断不再在“提效”与“能力补足”之间二选一，而是确认二者随任务并存，核心是快速形成可继续处理的结果；对一站式平台的判断由“一体化流程直接推进作品完成”修正为“主要支持创作启动，完成仍需持续修改”；对消费端的判断由“AI标签形成稳定负面预期”修正为“反应方向不一，评价仍主要围绕作品质量形成”。</w:t>
      </w:r>
    </w:p>
    <w:p w14:paraId="1486550B">
      <w:pPr>
        <w:pStyle w:val="3"/>
      </w:pPr>
      <w:bookmarkStart w:id="60" w:name="_Toc236239878"/>
      <w:r>
        <w:rPr>
          <w:rFonts w:ascii="微软雅黑" w:hAnsi="微软雅黑" w:eastAsia="微软雅黑"/>
          <w:color w:val="0F4761"/>
          <w:lang w:val="zh-CN" w:eastAsia="zh-CN"/>
        </w:rPr>
        <w:t>第八章 研究限制</w:t>
      </w:r>
      <w:bookmarkEnd w:id="60"/>
    </w:p>
    <w:p w14:paraId="0079444B">
      <w:pPr>
        <w:pStyle w:val="4"/>
      </w:pPr>
      <w:bookmarkStart w:id="61" w:name="_Toc236239879"/>
      <w:r>
        <w:rPr>
          <w:rFonts w:ascii="微软雅黑" w:hAnsi="微软雅黑" w:eastAsia="微软雅黑"/>
          <w:color w:val="0F4761"/>
          <w:lang w:val="zh-CN" w:eastAsia="zh-CN"/>
        </w:rPr>
        <w:t>8.1 样本来源与规模</w:t>
      </w:r>
      <w:bookmarkEnd w:id="61"/>
    </w:p>
    <w:p w14:paraId="473D94B0">
      <w:pPr>
        <w:pStyle w:val="178"/>
      </w:pPr>
      <w:r>
        <w:rPr>
          <w:rFonts w:ascii="微软雅黑" w:hAnsi="微软雅黑"/>
          <w:lang w:val="zh-CN" w:eastAsia="zh-CN"/>
        </w:rPr>
        <w:t>本研究的样本主要从开发者群组和光核共创营内部招募，社交媒体渠道带来的样本很少，属于非概率样本；主要定量样本为69名大学生，其中Codex主要使用者15名，一站式平台创作样本和相关作品实际体验者各6名。这些结果不能推断大学生群体中的比例，也不能支持不同专业、年级、开发经验或使用背景之间的稳定比较。</w:t>
      </w:r>
    </w:p>
    <w:p w14:paraId="207DFA8F">
      <w:pPr>
        <w:pStyle w:val="4"/>
      </w:pPr>
      <w:bookmarkStart w:id="62" w:name="_Toc236239880"/>
      <w:r>
        <w:rPr>
          <w:rFonts w:ascii="微软雅黑" w:hAnsi="微软雅黑" w:eastAsia="微软雅黑"/>
          <w:color w:val="0F4761"/>
          <w:lang w:val="zh-CN" w:eastAsia="zh-CN"/>
        </w:rPr>
        <w:t>8.2 一站式平台材料范围</w:t>
      </w:r>
      <w:bookmarkEnd w:id="62"/>
    </w:p>
    <w:p w14:paraId="1C01FDFE">
      <w:pPr>
        <w:pStyle w:val="178"/>
      </w:pPr>
      <w:r>
        <w:rPr>
          <w:rFonts w:ascii="微软雅黑" w:hAnsi="微软雅黑"/>
          <w:lang w:val="zh-CN" w:eastAsia="zh-CN"/>
        </w:rPr>
        <w:t>第五章的6份一站式平台创作记录包括TapTap制造、造化工坊等多个平台，且没有一站式平台创作者访谈。这些材料不能形成TapTap制造的产品专属结论，不能比较不同平台的差异，也不能完整解释平台创作者的连续创作过程。</w:t>
      </w:r>
    </w:p>
    <w:p w14:paraId="1379BC0A">
      <w:pPr>
        <w:pStyle w:val="4"/>
      </w:pPr>
      <w:bookmarkStart w:id="63" w:name="_Toc236239881"/>
      <w:r>
        <w:rPr>
          <w:rFonts w:ascii="微软雅黑" w:hAnsi="微软雅黑" w:eastAsia="微软雅黑"/>
          <w:color w:val="0F4761"/>
          <w:lang w:val="zh-CN" w:eastAsia="zh-CN"/>
        </w:rPr>
        <w:t>8.3 对照条件限制</w:t>
      </w:r>
      <w:bookmarkEnd w:id="63"/>
    </w:p>
    <w:p w14:paraId="402F790A">
      <w:pPr>
        <w:pStyle w:val="178"/>
      </w:pPr>
      <w:r>
        <w:rPr>
          <w:rFonts w:ascii="微软雅黑" w:hAnsi="微软雅黑"/>
          <w:lang w:val="zh-CN" w:eastAsia="zh-CN"/>
        </w:rPr>
        <w:t>消费端没有设置同一作品在“标注AI参与”和“不标注AI参与”条件下的对照，也没有设置“AI参与”和“非AI参与”的作品对照。现有评价不能用于判断AI标注或AI参与本身是否造成评价差异。</w:t>
      </w:r>
    </w:p>
    <w:p w14:paraId="78435151">
      <w:pPr>
        <w:pStyle w:val="4"/>
      </w:pPr>
      <w:bookmarkStart w:id="64" w:name="_Toc236239882"/>
      <w:r>
        <w:rPr>
          <w:rFonts w:ascii="微软雅黑" w:hAnsi="微软雅黑" w:eastAsia="微软雅黑"/>
          <w:color w:val="0F4761"/>
          <w:lang w:val="zh-CN" w:eastAsia="zh-CN"/>
        </w:rPr>
        <w:t>8.4 作品过程追踪限制</w:t>
      </w:r>
      <w:bookmarkEnd w:id="64"/>
    </w:p>
    <w:p w14:paraId="499384B7">
      <w:pPr>
        <w:pStyle w:val="178"/>
      </w:pPr>
      <w:r>
        <w:rPr>
          <w:rFonts w:ascii="微软雅黑" w:hAnsi="微软雅黑"/>
          <w:lang w:val="zh-CN" w:eastAsia="zh-CN"/>
        </w:rPr>
        <w:t>本研究没有连续追踪同一作品从创作、修改、发布到玩家评价的过程，生产端和消费端使用的也是不同样本。现有材料只能比较问题层面的共同点，不能建立创作选择、作品版本与玩家反馈之间的因果对应关系</w:t>
      </w:r>
      <w:bookmarkStart w:id="66" w:name="_GoBack"/>
      <w:bookmarkEnd w:id="66"/>
      <w:r>
        <w:rPr>
          <w:rFonts w:ascii="微软雅黑" w:hAnsi="微软雅黑"/>
          <w:lang w:val="zh-CN" w:eastAsia="zh-CN"/>
        </w:rPr>
        <w:t>。</w:t>
      </w:r>
    </w:p>
    <w:p w14:paraId="3B5736B9">
      <w:pPr>
        <w:pStyle w:val="4"/>
      </w:pPr>
      <w:bookmarkStart w:id="65" w:name="_Toc236239883"/>
      <w:r>
        <w:rPr>
          <w:rFonts w:ascii="微软雅黑" w:hAnsi="微软雅黑" w:eastAsia="微软雅黑"/>
          <w:color w:val="0F4761"/>
          <w:lang w:val="zh-CN" w:eastAsia="zh-CN"/>
        </w:rPr>
        <w:t>8.5 访谈材料的使用边界</w:t>
      </w:r>
      <w:bookmarkEnd w:id="65"/>
    </w:p>
    <w:p w14:paraId="1BDB33AC">
      <w:pPr>
        <w:pStyle w:val="178"/>
      </w:pPr>
      <w:r>
        <w:rPr>
          <w:rFonts w:ascii="微软雅黑" w:hAnsi="微软雅黑"/>
          <w:lang w:val="zh-CN" w:eastAsia="zh-CN"/>
        </w:rPr>
        <w:t>5名访谈对象只用于解释需求拆分、检查修改、素材处理和作品评价等具体过程，不承担群体比例推断。即使多名访谈对象提出相近判断，也只能说明该现象在当前材料中重复出现。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247" w:right="1361" w:bottom="1134" w:left="1361" w:header="510" w:footer="51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@微软雅黑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@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@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E5CA3">
    <w:pPr>
      <w:pStyle w:val="2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8EEC98">
                          <w:pPr>
                            <w:pStyle w:val="25"/>
                            <w:jc w:val="center"/>
                          </w:pPr>
                          <w:r>
                            <w:rPr>
                              <w:color w:val="606A73"/>
                              <w:sz w:val="18"/>
                            </w:rPr>
                            <w:t xml:space="preserve">— </w:t>
                          </w:r>
                          <w:r>
                            <w:rPr>
                              <w:color w:val="606A73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606A73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606A73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606A73"/>
                              <w:sz w:val="18"/>
                            </w:rPr>
                            <w:t>1</w:t>
                          </w:r>
                          <w:r>
                            <w:rPr>
                              <w:color w:val="606A73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606A73"/>
                              <w:sz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8EEC98">
                    <w:pPr>
                      <w:pStyle w:val="25"/>
                      <w:jc w:val="center"/>
                    </w:pPr>
                    <w:r>
                      <w:rPr>
                        <w:color w:val="606A73"/>
                        <w:sz w:val="18"/>
                      </w:rPr>
                      <w:t xml:space="preserve">— </w:t>
                    </w:r>
                    <w:r>
                      <w:rPr>
                        <w:color w:val="606A73"/>
                        <w:sz w:val="18"/>
                      </w:rPr>
                      <w:fldChar w:fldCharType="begin"/>
                    </w:r>
                    <w:r>
                      <w:rPr>
                        <w:color w:val="606A73"/>
                        <w:sz w:val="18"/>
                      </w:rPr>
                      <w:instrText xml:space="preserve"> PAGE </w:instrText>
                    </w:r>
                    <w:r>
                      <w:rPr>
                        <w:color w:val="606A73"/>
                        <w:sz w:val="18"/>
                      </w:rPr>
                      <w:fldChar w:fldCharType="separate"/>
                    </w:r>
                    <w:r>
                      <w:rPr>
                        <w:color w:val="606A73"/>
                        <w:sz w:val="18"/>
                      </w:rPr>
                      <w:t>1</w:t>
                    </w:r>
                    <w:r>
                      <w:rPr>
                        <w:color w:val="606A73"/>
                        <w:sz w:val="18"/>
                      </w:rPr>
                      <w:fldChar w:fldCharType="end"/>
                    </w:r>
                    <w:r>
                      <w:rPr>
                        <w:color w:val="606A73"/>
                        <w:sz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6BCD7">
    <w:pPr>
      <w:pStyle w:val="2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79EB6">
    <w:pPr>
      <w:pStyle w:val="2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4BD6AC">
                          <w:pPr>
                            <w:pStyle w:val="2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4BD6AC">
                    <w:pPr>
                      <w:pStyle w:val="2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DD3F4">
    <w:pPr>
      <w:pStyle w:val="26"/>
      <w:jc w:val="right"/>
    </w:pPr>
    <w:r>
      <w:rPr>
        <w:color w:val="606A73"/>
        <w:sz w:val="17"/>
      </w:rPr>
      <w:t>大学生 AI 游戏创作工具用户研究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6FD25">
    <w:pPr>
      <w:pStyle w:val="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B4D67">
    <w:pPr>
      <w:pStyle w:val="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ZTQxNjQyN2JiYmZiYmFjZmRlNGUxN2Q4YmViNmIifQ=="/>
  </w:docVars>
  <w:rsids>
    <w:rsidRoot w:val="00B47730"/>
    <w:rsid w:val="00034616"/>
    <w:rsid w:val="0006063C"/>
    <w:rsid w:val="0015074B"/>
    <w:rsid w:val="0029639D"/>
    <w:rsid w:val="00326F90"/>
    <w:rsid w:val="00394E9D"/>
    <w:rsid w:val="004E1A1C"/>
    <w:rsid w:val="00531498"/>
    <w:rsid w:val="00667065"/>
    <w:rsid w:val="006D599C"/>
    <w:rsid w:val="00714B71"/>
    <w:rsid w:val="00AA1D8D"/>
    <w:rsid w:val="00B47730"/>
    <w:rsid w:val="00CB0664"/>
    <w:rsid w:val="00E50BF3"/>
    <w:rsid w:val="00F57C16"/>
    <w:rsid w:val="00FC693F"/>
    <w:rsid w:val="0E21016D"/>
    <w:rsid w:val="14EB6229"/>
    <w:rsid w:val="156712A9"/>
    <w:rsid w:val="196676B6"/>
    <w:rsid w:val="1AA650CC"/>
    <w:rsid w:val="2888032F"/>
    <w:rsid w:val="317743EC"/>
    <w:rsid w:val="335B05D1"/>
    <w:rsid w:val="454C1B92"/>
    <w:rsid w:val="477156B3"/>
    <w:rsid w:val="5495703C"/>
    <w:rsid w:val="5D3E7774"/>
    <w:rsid w:val="62947BCF"/>
    <w:rsid w:val="63703716"/>
    <w:rsid w:val="6F810491"/>
    <w:rsid w:val="7A2465E9"/>
    <w:rsid w:val="7BCF3FBC"/>
    <w:rsid w:val="7F6E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24" w:lineRule="auto"/>
      <w:ind w:firstLine="420"/>
      <w:jc w:val="both"/>
    </w:pPr>
    <w:rPr>
      <w:rFonts w:ascii="Arial" w:hAnsi="Arial" w:eastAsia="微软雅黑" w:cstheme="minorBidi"/>
      <w:color w:val="222222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42"/>
    <w:qFormat/>
    <w:uiPriority w:val="9"/>
    <w:pPr>
      <w:keepNext/>
      <w:keepLines/>
      <w:pageBreakBefore/>
      <w:spacing w:before="320" w:after="160" w:line="276" w:lineRule="auto"/>
      <w:jc w:val="left"/>
      <w:outlineLvl w:val="0"/>
    </w:pPr>
    <w:rPr>
      <w:rFonts w:asciiTheme="majorHAnsi" w:hAnsiTheme="majorHAnsi" w:eastAsiaTheme="majorEastAsia" w:cstheme="majorBidi"/>
      <w:b/>
      <w:bCs/>
      <w:color w:val="1F4E79"/>
      <w:sz w:val="36"/>
      <w:szCs w:val="28"/>
    </w:rPr>
  </w:style>
  <w:style w:type="paragraph" w:styleId="4">
    <w:name w:val="heading 2"/>
    <w:basedOn w:val="1"/>
    <w:next w:val="1"/>
    <w:link w:val="143"/>
    <w:unhideWhenUsed/>
    <w:qFormat/>
    <w:uiPriority w:val="9"/>
    <w:pPr>
      <w:keepNext/>
      <w:keepLines/>
      <w:spacing w:before="240" w:after="100" w:line="276" w:lineRule="auto"/>
      <w:jc w:val="left"/>
      <w:outlineLvl w:val="1"/>
    </w:pPr>
    <w:rPr>
      <w:rFonts w:asciiTheme="majorHAnsi" w:hAnsiTheme="majorHAnsi" w:eastAsiaTheme="majorEastAsia" w:cstheme="majorBidi"/>
      <w:b/>
      <w:bCs/>
      <w:color w:val="2D70B1"/>
      <w:sz w:val="27"/>
      <w:szCs w:val="26"/>
    </w:rPr>
  </w:style>
  <w:style w:type="paragraph" w:styleId="5">
    <w:name w:val="heading 3"/>
    <w:basedOn w:val="1"/>
    <w:next w:val="1"/>
    <w:link w:val="144"/>
    <w:unhideWhenUsed/>
    <w:qFormat/>
    <w:uiPriority w:val="9"/>
    <w:pPr>
      <w:keepNext/>
      <w:keepLines/>
      <w:spacing w:before="180" w:after="80" w:line="276" w:lineRule="auto"/>
      <w:jc w:val="left"/>
      <w:outlineLvl w:val="2"/>
    </w:pPr>
    <w:rPr>
      <w:rFonts w:asciiTheme="majorHAnsi" w:hAnsiTheme="majorHAnsi" w:eastAsiaTheme="majorEastAsia" w:cstheme="majorBidi"/>
      <w:b/>
      <w:bCs/>
      <w:color w:val="1F4E79"/>
      <w:sz w:val="23"/>
    </w:rPr>
  </w:style>
  <w:style w:type="paragraph" w:styleId="6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140" w:after="60" w:line="276" w:lineRule="auto"/>
      <w:jc w:val="left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5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1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spacing w:after="160" w:line="280" w:lineRule="auto"/>
      <w:ind w:left="720"/>
      <w:contextualSpacing/>
    </w:pPr>
    <w:rPr>
      <w:rFonts w:ascii="Calibri" w:hAnsi="Calibri"/>
      <w:sz w:val="22"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50"/>
    <w:unhideWhenUsed/>
    <w:qFormat/>
    <w:uiPriority w:val="99"/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8"/>
    <w:unhideWhenUsed/>
    <w:qFormat/>
    <w:uiPriority w:val="99"/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25">
    <w:name w:val="foot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toc 1"/>
    <w:basedOn w:val="1"/>
    <w:next w:val="1"/>
    <w:autoRedefine/>
    <w:unhideWhenUsed/>
    <w:qFormat/>
    <w:uiPriority w:val="39"/>
  </w:style>
  <w:style w:type="paragraph" w:styleId="28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31">
    <w:name w:val="Body Text 2"/>
    <w:basedOn w:val="1"/>
    <w:link w:val="149"/>
    <w:unhideWhenUsed/>
    <w:qFormat/>
    <w:uiPriority w:val="99"/>
    <w:pPr>
      <w:spacing w:line="480" w:lineRule="auto"/>
    </w:pPr>
  </w:style>
  <w:style w:type="paragraph" w:styleId="32">
    <w:name w:val="List Continue 2"/>
    <w:basedOn w:val="1"/>
    <w:unhideWhenUsed/>
    <w:qFormat/>
    <w:uiPriority w:val="99"/>
    <w:pPr>
      <w:ind w:left="720"/>
      <w:contextualSpacing/>
    </w:pPr>
  </w:style>
  <w:style w:type="paragraph" w:styleId="33">
    <w:name w:val="List Continue 3"/>
    <w:basedOn w:val="1"/>
    <w:unhideWhenUsed/>
    <w:qFormat/>
    <w:uiPriority w:val="99"/>
    <w:pPr>
      <w:ind w:left="1080"/>
      <w:contextualSpacing/>
    </w:pPr>
  </w:style>
  <w:style w:type="paragraph" w:styleId="34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6">
    <w:name w:val="Table Grid"/>
    <w:basedOn w:val="3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7">
    <w:name w:val="Light Shading"/>
    <w:basedOn w:val="35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35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6">
    <w:name w:val="Strong"/>
    <w:basedOn w:val="135"/>
    <w:qFormat/>
    <w:uiPriority w:val="22"/>
    <w:rPr>
      <w:b/>
      <w:bCs/>
    </w:rPr>
  </w:style>
  <w:style w:type="character" w:styleId="137">
    <w:name w:val="Emphasis"/>
    <w:basedOn w:val="135"/>
    <w:qFormat/>
    <w:uiPriority w:val="20"/>
    <w:rPr>
      <w:i/>
      <w:iCs/>
    </w:rPr>
  </w:style>
  <w:style w:type="character" w:styleId="138">
    <w:name w:val="Hyperlink"/>
    <w:basedOn w:val="13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9">
    <w:name w:val="页眉 字符"/>
    <w:basedOn w:val="135"/>
    <w:link w:val="26"/>
    <w:qFormat/>
    <w:uiPriority w:val="99"/>
  </w:style>
  <w:style w:type="character" w:customStyle="1" w:styleId="140">
    <w:name w:val="页脚 字符"/>
    <w:basedOn w:val="135"/>
    <w:link w:val="25"/>
    <w:qFormat/>
    <w:uiPriority w:val="99"/>
  </w:style>
  <w:style w:type="paragraph" w:styleId="141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标题 1 字符"/>
    <w:basedOn w:val="135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标题 2 字符"/>
    <w:basedOn w:val="13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标题 3 字符"/>
    <w:basedOn w:val="135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标题 字符"/>
    <w:basedOn w:val="135"/>
    <w:link w:val="34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副标题 字符"/>
    <w:basedOn w:val="135"/>
    <w:link w:val="2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正文文本 字符"/>
    <w:basedOn w:val="135"/>
    <w:link w:val="19"/>
    <w:qFormat/>
    <w:uiPriority w:val="99"/>
  </w:style>
  <w:style w:type="character" w:customStyle="1" w:styleId="149">
    <w:name w:val="正文文本 2 字符"/>
    <w:basedOn w:val="135"/>
    <w:link w:val="31"/>
    <w:qFormat/>
    <w:uiPriority w:val="99"/>
  </w:style>
  <w:style w:type="character" w:customStyle="1" w:styleId="150">
    <w:name w:val="正文文本 3 字符"/>
    <w:basedOn w:val="135"/>
    <w:link w:val="17"/>
    <w:qFormat/>
    <w:uiPriority w:val="99"/>
    <w:rPr>
      <w:sz w:val="16"/>
      <w:szCs w:val="16"/>
    </w:rPr>
  </w:style>
  <w:style w:type="character" w:customStyle="1" w:styleId="151">
    <w:name w:val="宏文本 字符"/>
    <w:basedOn w:val="135"/>
    <w:link w:val="2"/>
    <w:qFormat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引用 字符"/>
    <w:basedOn w:val="135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标题 4 字符"/>
    <w:basedOn w:val="135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标题 5 字符"/>
    <w:basedOn w:val="135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标题 6 字符"/>
    <w:basedOn w:val="135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标题 7 字符"/>
    <w:basedOn w:val="135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标题 8 字符"/>
    <w:basedOn w:val="135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标题 9 字符"/>
    <w:basedOn w:val="135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明显引用 字符"/>
    <w:basedOn w:val="135"/>
    <w:link w:val="160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不明显强调1"/>
    <w:basedOn w:val="135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明显强调1"/>
    <w:basedOn w:val="135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不明显参考1"/>
    <w:basedOn w:val="135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明显参考1"/>
    <w:basedOn w:val="135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书籍标题1"/>
    <w:basedOn w:val="135"/>
    <w:qFormat/>
    <w:uiPriority w:val="33"/>
    <w:rPr>
      <w:b/>
      <w:bCs/>
      <w:smallCaps/>
      <w:spacing w:val="5"/>
    </w:rPr>
  </w:style>
  <w:style w:type="paragraph" w:customStyle="1" w:styleId="167">
    <w:name w:val="TOC 标题1"/>
    <w:basedOn w:val="3"/>
    <w:next w:val="1"/>
    <w:semiHidden/>
    <w:unhideWhenUsed/>
    <w:qFormat/>
    <w:uiPriority w:val="39"/>
    <w:pPr>
      <w:outlineLvl w:val="9"/>
    </w:pPr>
  </w:style>
  <w:style w:type="paragraph" w:customStyle="1" w:styleId="168">
    <w:name w:val="Cover Title"/>
    <w:qFormat/>
    <w:uiPriority w:val="0"/>
    <w:pPr>
      <w:keepLines/>
      <w:spacing w:after="360"/>
      <w:jc w:val="center"/>
    </w:pPr>
    <w:rPr>
      <w:rFonts w:ascii="Arial" w:hAnsi="Arial" w:eastAsia="微软雅黑" w:cs="Times New Roman"/>
      <w:b/>
      <w:color w:val="1F4E79"/>
      <w:sz w:val="56"/>
      <w:lang w:val="en-US" w:eastAsia="zh-CN" w:bidi="ar-SA"/>
    </w:rPr>
  </w:style>
  <w:style w:type="paragraph" w:customStyle="1" w:styleId="169">
    <w:name w:val="Cover Subtitle"/>
    <w:qFormat/>
    <w:uiPriority w:val="0"/>
    <w:pPr>
      <w:spacing w:after="200"/>
      <w:jc w:val="center"/>
    </w:pPr>
    <w:rPr>
      <w:rFonts w:ascii="Arial" w:hAnsi="Arial" w:eastAsia="微软雅黑" w:cs="Times New Roman"/>
      <w:color w:val="2D70B1"/>
      <w:sz w:val="30"/>
      <w:lang w:val="en-US" w:eastAsia="zh-CN" w:bidi="ar-SA"/>
    </w:rPr>
  </w:style>
  <w:style w:type="paragraph" w:customStyle="1" w:styleId="170">
    <w:name w:val="Cover Metadata"/>
    <w:qFormat/>
    <w:uiPriority w:val="0"/>
    <w:pPr>
      <w:spacing w:before="2400"/>
      <w:jc w:val="center"/>
    </w:pPr>
    <w:rPr>
      <w:rFonts w:ascii="Arial" w:hAnsi="Arial" w:eastAsia="微软雅黑" w:cs="Times New Roman"/>
      <w:color w:val="606A73"/>
      <w:sz w:val="21"/>
      <w:lang w:val="en-US" w:eastAsia="zh-CN" w:bidi="ar-SA"/>
    </w:rPr>
  </w:style>
  <w:style w:type="paragraph" w:customStyle="1" w:styleId="171">
    <w:name w:val="TOC Title"/>
    <w:qFormat/>
    <w:uiPriority w:val="0"/>
    <w:pPr>
      <w:keepNext/>
      <w:spacing w:before="280" w:after="440"/>
      <w:jc w:val="center"/>
    </w:pPr>
    <w:rPr>
      <w:rFonts w:ascii="Arial" w:hAnsi="Arial" w:eastAsia="微软雅黑" w:cs="Times New Roman"/>
      <w:b/>
      <w:color w:val="1F4E79"/>
      <w:sz w:val="40"/>
      <w:lang w:val="en-US" w:eastAsia="zh-CN" w:bidi="ar-SA"/>
    </w:rPr>
  </w:style>
  <w:style w:type="paragraph" w:customStyle="1" w:styleId="172">
    <w:name w:val="TOC Body"/>
    <w:qFormat/>
    <w:uiPriority w:val="0"/>
    <w:pPr>
      <w:spacing w:after="80"/>
      <w:jc w:val="center"/>
    </w:pPr>
    <w:rPr>
      <w:rFonts w:ascii="Arial" w:hAnsi="Arial" w:eastAsia="微软雅黑" w:cs="Times New Roman"/>
      <w:color w:val="606A73"/>
      <w:lang w:val="en-US" w:eastAsia="zh-CN" w:bidi="ar-SA"/>
    </w:rPr>
  </w:style>
  <w:style w:type="paragraph" w:customStyle="1" w:styleId="173">
    <w:name w:val="Table Caption"/>
    <w:qFormat/>
    <w:uiPriority w:val="0"/>
    <w:pPr>
      <w:keepNext/>
      <w:spacing w:before="140" w:after="80"/>
      <w:jc w:val="center"/>
    </w:pPr>
    <w:rPr>
      <w:rFonts w:ascii="Arial" w:hAnsi="Arial" w:eastAsia="微软雅黑" w:cs="Times New Roman"/>
      <w:b/>
      <w:color w:val="1F4E79"/>
      <w:sz w:val="19"/>
      <w:lang w:val="en-US" w:eastAsia="zh-CN" w:bidi="ar-SA"/>
    </w:rPr>
  </w:style>
  <w:style w:type="paragraph" w:customStyle="1" w:styleId="174">
    <w:name w:val="Figure Caption"/>
    <w:qFormat/>
    <w:uiPriority w:val="0"/>
    <w:pPr>
      <w:keepLines/>
      <w:spacing w:before="60" w:after="160"/>
      <w:jc w:val="center"/>
    </w:pPr>
    <w:rPr>
      <w:rFonts w:ascii="Arial" w:hAnsi="Arial" w:eastAsia="微软雅黑" w:cs="Times New Roman"/>
      <w:color w:val="606A73"/>
      <w:sz w:val="19"/>
      <w:lang w:val="en-US" w:eastAsia="zh-CN" w:bidi="ar-SA"/>
    </w:rPr>
  </w:style>
  <w:style w:type="paragraph" w:customStyle="1" w:styleId="175">
    <w:name w:val="Figure"/>
    <w:qFormat/>
    <w:uiPriority w:val="0"/>
    <w:pPr>
      <w:keepNext/>
      <w:keepLines/>
      <w:spacing w:before="100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76">
    <w:name w:val="Source Note"/>
    <w:qFormat/>
    <w:uiPriority w:val="0"/>
    <w:pPr>
      <w:spacing w:after="40" w:line="276" w:lineRule="auto"/>
      <w:ind w:left="255"/>
    </w:pPr>
    <w:rPr>
      <w:rFonts w:ascii="Arial" w:hAnsi="Arial" w:eastAsia="微软雅黑" w:cs="Times New Roman"/>
      <w:color w:val="606A73"/>
      <w:sz w:val="17"/>
      <w:lang w:val="en-US" w:eastAsia="zh-CN" w:bidi="ar-SA"/>
    </w:rPr>
  </w:style>
  <w:style w:type="paragraph" w:customStyle="1" w:styleId="177">
    <w:name w:val="Note"/>
    <w:qFormat/>
    <w:uiPriority w:val="0"/>
    <w:pPr>
      <w:spacing w:before="40" w:after="100"/>
    </w:pPr>
    <w:rPr>
      <w:rFonts w:ascii="Arial" w:hAnsi="Arial" w:eastAsia="微软雅黑" w:cs="Times New Roman"/>
      <w:color w:val="606A73"/>
      <w:sz w:val="17"/>
      <w:lang w:val="en-US" w:eastAsia="zh-CN" w:bidi="ar-SA"/>
    </w:rPr>
  </w:style>
  <w:style w:type="paragraph" w:customStyle="1" w:styleId="178">
    <w:name w:val="First Paragraph"/>
    <w:basedOn w:val="1"/>
    <w:qFormat/>
    <w:uiPriority w:val="0"/>
  </w:style>
  <w:style w:type="paragraph" w:customStyle="1" w:styleId="179">
    <w:name w:val="文本块1"/>
    <w:qFormat/>
    <w:uiPriority w:val="0"/>
    <w:pPr>
      <w:keepLines/>
      <w:spacing w:before="100" w:after="120" w:line="307" w:lineRule="auto"/>
      <w:ind w:left="312" w:right="198"/>
    </w:pPr>
    <w:rPr>
      <w:rFonts w:ascii="Arial" w:hAnsi="Arial" w:eastAsia="微软雅黑" w:cs="Times New Roman"/>
      <w:color w:val="3F4A54"/>
      <w:sz w:val="19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2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Words>17060</Words>
  <Characters>18764</Characters>
  <Lines>508</Lines>
  <Paragraphs>516</Paragraphs>
  <TotalTime>59</TotalTime>
  <ScaleCrop>false</ScaleCrop>
  <LinksUpToDate>false</LinksUpToDate>
  <CharactersWithSpaces>19123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课题组</dc:creator>
  <dc:description>第一、二章保留确认内容，新增第三章研究材料与样本说明。</dc:description>
  <cp:lastModifiedBy>左涵俊</cp:lastModifiedBy>
  <dcterms:modified xsi:type="dcterms:W3CDTF">2026-07-29T10:18:00Z</dcterms:modified>
  <dc:subject>第四章精修稿</dc:subject>
  <dc:title>大学生 AI 游戏创作工具用户研究：第一至第八章整合报告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7F758FBCE8624B00B5C8D384340BF0FC_13</vt:lpwstr>
  </property>
</Properties>
</file>