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80" w:after="80"/>
      </w:pPr>
      <w:r>
        <w:rPr>
          <w:rFonts w:ascii="Calibri" w:hAnsi="Calibri" w:eastAsia="Microsoft YaHei"/>
          <w:b/>
          <w:i w:val="0"/>
          <w:color w:val="1F4D78"/>
          <w:sz w:val="48"/>
        </w:rPr>
        <w:t>研究证据总控与数据概览</w:t>
      </w:r>
    </w:p>
    <w:p>
      <w:pPr>
        <w:spacing w:after="280"/>
      </w:pPr>
      <w:r>
        <w:rPr>
          <w:rFonts w:ascii="Calibri" w:hAnsi="Calibri" w:eastAsia="Microsoft YaHei"/>
          <w:b w:val="0"/>
          <w:i w:val="0"/>
          <w:color w:val="5B6573"/>
          <w:sz w:val="25"/>
        </w:rPr>
        <w:t>从《00_研究报告写作大纲与证据总控》中抽取的固定前置资料</w:t>
      </w:r>
    </w:p>
    <w:p>
      <w:pPr>
        <w:spacing w:after="60"/>
      </w:pPr>
      <w:r>
        <w:rPr>
          <w:rFonts w:ascii="Calibri" w:hAnsi="Calibri" w:eastAsia="Microsoft YaHei"/>
          <w:b/>
          <w:i w:val="0"/>
          <w:color w:val="1F4D78"/>
          <w:sz w:val="22"/>
        </w:rPr>
        <w:t>文件定位：</w:t>
      </w:r>
      <w:r>
        <w:rPr>
          <w:rFonts w:ascii="Calibri" w:hAnsi="Calibri" w:eastAsia="Microsoft YaHei"/>
          <w:b w:val="0"/>
          <w:i w:val="0"/>
          <w:color w:val="1F2937"/>
          <w:sz w:val="22"/>
        </w:rPr>
        <w:t>总体研究报告写作的第三份固定前置资料</w:t>
      </w:r>
    </w:p>
    <w:p>
      <w:pPr>
        <w:spacing w:after="60"/>
      </w:pPr>
      <w:r>
        <w:rPr>
          <w:rFonts w:ascii="Calibri" w:hAnsi="Calibri" w:eastAsia="Microsoft YaHei"/>
          <w:b/>
          <w:i w:val="0"/>
          <w:color w:val="1F4D78"/>
          <w:sz w:val="22"/>
        </w:rPr>
        <w:t>主要用途：</w:t>
      </w:r>
      <w:r>
        <w:rPr>
          <w:rFonts w:ascii="Calibri" w:hAnsi="Calibri" w:eastAsia="Microsoft YaHei"/>
          <w:b w:val="0"/>
          <w:i w:val="0"/>
          <w:color w:val="1F2937"/>
          <w:sz w:val="22"/>
        </w:rPr>
        <w:t>统一样本、分母、变量、访谈角色、假设状态与结论上限</w:t>
      </w:r>
    </w:p>
    <w:p>
      <w:pPr>
        <w:spacing w:after="60"/>
      </w:pPr>
      <w:r>
        <w:rPr>
          <w:rFonts w:ascii="Calibri" w:hAnsi="Calibri" w:eastAsia="Microsoft YaHei"/>
          <w:b/>
          <w:i w:val="0"/>
          <w:color w:val="1F4D78"/>
          <w:sz w:val="22"/>
        </w:rPr>
        <w:t>不替代：</w:t>
      </w:r>
      <w:r>
        <w:rPr>
          <w:rFonts w:ascii="Calibri" w:hAnsi="Calibri" w:eastAsia="Microsoft YaHei"/>
          <w:b w:val="0"/>
          <w:i w:val="0"/>
          <w:color w:val="1F2937"/>
          <w:sz w:val="22"/>
        </w:rPr>
        <w:t>最终十章骨架、总体边界、原始问卷数据与逐字稿</w:t>
      </w:r>
    </w:p>
    <w:p>
      <w:pPr>
        <w:spacing w:after="60"/>
      </w:pPr>
      <w:r>
        <w:rPr>
          <w:rFonts w:ascii="Calibri" w:hAnsi="Calibri" w:eastAsia="Microsoft YaHei"/>
          <w:b/>
          <w:i w:val="0"/>
          <w:color w:val="1F4D78"/>
          <w:sz w:val="22"/>
        </w:rPr>
        <w:t>源材料：</w:t>
      </w:r>
      <w:r>
        <w:rPr>
          <w:rFonts w:ascii="Calibri" w:hAnsi="Calibri" w:eastAsia="Microsoft YaHei"/>
          <w:b w:val="0"/>
          <w:i w:val="0"/>
          <w:color w:val="1F2937"/>
          <w:sz w:val="22"/>
        </w:rPr>
        <w:t>《00_研究报告写作大纲与证据总控.docx》内部附录 A—E</w:t>
      </w:r>
    </w:p>
    <w:tbl>
      <w:tblPr>
        <w:tblW w:type="dxa" w:w="9360"/>
        <w:jc w:val="left"/>
        <w:tblLayout w:type="fixed"/>
        <w:tblLook w:firstColumn="1" w:firstRow="1" w:lastColumn="0" w:lastRow="0" w:noHBand="0" w:noVBand="1" w:val="04A0"/>
        <w:tblInd w:w="120" w:type="dxa"/>
        <w:tblBorders>
          <w:top w:val="single" w:sz="6" w:space="0" w:color="C8D5E2"/>
          <w:left w:val="single" w:sz="6" w:space="0" w:color="C8D5E2"/>
          <w:bottom w:val="single" w:sz="6" w:space="0" w:color="C8D5E2"/>
          <w:right w:val="single" w:sz="6" w:space="0" w:color="C8D5E2"/>
          <w:insideH w:val="single" w:sz="6" w:space="0" w:color="C8D5E2"/>
          <w:insideV w:val="single" w:sz="6" w:space="0" w:color="C8D5E2"/>
        </w:tblBorders>
      </w:tblPr>
      <w:tblGrid>
        <w:gridCol w:w="9360"/>
      </w:tblGrid>
      <w:tr>
        <w:tc>
          <w:tcPr>
            <w:tcW w:type="dxa" w:w="9360"/>
            <w:tcMar>
              <w:top w:w="80" w:type="dxa"/>
              <w:start w:w="120" w:type="dxa"/>
              <w:bottom w:w="80" w:type="dxa"/>
              <w:end w:w="120" w:type="dxa"/>
            </w:tcMar>
            <w:vAlign w:val="center"/>
            <w:shd w:fill="F4F7FA"/>
          </w:tcPr>
          <w:p>
            <w:pPr>
              <w:spacing w:before="40" w:after="40" w:line="288" w:lineRule="auto"/>
            </w:pPr>
            <w:r>
              <w:rPr>
                <w:rFonts w:ascii="Calibri" w:hAnsi="Calibri" w:eastAsia="Microsoft YaHei"/>
                <w:b/>
                <w:i w:val="0"/>
                <w:color w:val="1F4D78"/>
                <w:sz w:val="22"/>
              </w:rPr>
              <w:t>最高级使用原则：</w:t>
            </w:r>
            <w:r>
              <w:rPr>
                <w:rFonts w:ascii="Calibri" w:hAnsi="Calibri" w:eastAsia="Microsoft YaHei"/>
                <w:b w:val="0"/>
                <w:i w:val="0"/>
                <w:color w:val="1F2937"/>
                <w:sz w:val="22"/>
              </w:rPr>
              <w:t>本文件负责告诉各章节“现有证据是什么、分母是什么、最多能写到哪里”。它不提供可直接复制的章节结论；第四、五、六章仍须回到相应问卷记录与逐字稿重新分析。</w:t>
            </w:r>
          </w:p>
        </w:tc>
      </w:tr>
    </w:tbl>
    <w:p>
      <w:pPr>
        <w:spacing w:after="40"/>
      </w:pPr>
    </w:p>
    <w:p>
      <w:pPr>
        <w:pStyle w:val="Heading1"/>
        <w:keepNext/>
        <w:keepLines/>
        <w:pageBreakBefore w:val="0"/>
        <w:spacing w:before="360" w:after="200"/>
      </w:pPr>
      <w:r>
        <w:rPr>
          <w:rFonts w:ascii="Calibri" w:hAnsi="Calibri" w:eastAsia="Microsoft YaHei"/>
          <w:b/>
          <w:i w:val="0"/>
          <w:color w:val="2E74B5"/>
          <w:sz w:val="32"/>
        </w:rPr>
        <w:t>一、抽取范围与文件关系</w:t>
      </w:r>
    </w:p>
    <w:p>
      <w:pPr>
        <w:pStyle w:val="Heading2"/>
        <w:keepNext/>
        <w:keepLines/>
        <w:pageBreakBefore w:val="0"/>
        <w:spacing w:before="280" w:after="140"/>
      </w:pPr>
      <w:r>
        <w:rPr>
          <w:rFonts w:ascii="Calibri" w:hAnsi="Calibri" w:eastAsia="Microsoft YaHei"/>
          <w:b/>
          <w:i w:val="0"/>
          <w:color w:val="2E74B5"/>
          <w:sz w:val="26"/>
        </w:rPr>
        <w:t>1.1 本次保留的内容</w:t>
      </w:r>
    </w:p>
    <w:p>
      <w:pPr>
        <w:pStyle w:val="ListBullet"/>
        <w:spacing w:after="80" w:line="300" w:lineRule="auto"/>
        <w:ind w:left="540" w:hanging="271"/>
      </w:pPr>
      <w:r>
        <w:rPr>
          <w:rFonts w:ascii="Calibri" w:hAnsi="Calibri" w:eastAsia="Microsoft YaHei"/>
          <w:b w:val="0"/>
          <w:i w:val="0"/>
          <w:color w:val="1F2937"/>
          <w:sz w:val="22"/>
        </w:rPr>
        <w:t>问卷的原始结构、清洗流程、固定分母及缺失处理规则。</w:t>
      </w:r>
    </w:p>
    <w:p>
      <w:pPr>
        <w:pStyle w:val="ListBullet"/>
        <w:spacing w:after="80" w:line="300" w:lineRule="auto"/>
        <w:ind w:left="540" w:hanging="271"/>
      </w:pPr>
      <w:r>
        <w:rPr>
          <w:rFonts w:ascii="Calibri" w:hAnsi="Calibri" w:eastAsia="Microsoft YaHei"/>
          <w:b w:val="0"/>
          <w:i w:val="0"/>
          <w:color w:val="1F2937"/>
          <w:sz w:val="22"/>
        </w:rPr>
        <w:t>三端分析所需的关键变量索引，不复制完整 56 项数据字典。</w:t>
      </w:r>
    </w:p>
    <w:p>
      <w:pPr>
        <w:pStyle w:val="ListBullet"/>
        <w:spacing w:after="80" w:line="300" w:lineRule="auto"/>
        <w:ind w:left="540" w:hanging="271"/>
      </w:pPr>
      <w:r>
        <w:rPr>
          <w:rFonts w:ascii="Calibri" w:hAnsi="Calibri" w:eastAsia="Microsoft YaHei"/>
          <w:b w:val="0"/>
          <w:i w:val="0"/>
          <w:color w:val="1F2937"/>
          <w:sz w:val="22"/>
        </w:rPr>
        <w:t>五份访谈的匿名角色、可解释机制与使用边界。</w:t>
      </w:r>
    </w:p>
    <w:p>
      <w:pPr>
        <w:pStyle w:val="ListBullet"/>
        <w:spacing w:after="80" w:line="300" w:lineRule="auto"/>
        <w:ind w:left="540" w:hanging="271"/>
      </w:pPr>
      <w:r>
        <w:rPr>
          <w:rFonts w:ascii="Calibri" w:hAnsi="Calibri" w:eastAsia="Microsoft YaHei"/>
          <w:b w:val="0"/>
          <w:i w:val="0"/>
          <w:color w:val="1F2937"/>
          <w:sz w:val="22"/>
        </w:rPr>
        <w:t>与核心研究问题直接相关的候选假设及当前状态。</w:t>
      </w:r>
    </w:p>
    <w:p>
      <w:pPr>
        <w:pStyle w:val="ListBullet"/>
        <w:spacing w:after="80" w:line="300" w:lineRule="auto"/>
        <w:ind w:left="540" w:hanging="271"/>
      </w:pPr>
      <w:r>
        <w:rPr>
          <w:rFonts w:ascii="Calibri" w:hAnsi="Calibri" w:eastAsia="Microsoft YaHei"/>
          <w:b w:val="0"/>
          <w:i w:val="0"/>
          <w:color w:val="1F2937"/>
          <w:sz w:val="22"/>
        </w:rPr>
        <w:t>证据不足清单、允许写法和章节材料路由。</w:t>
      </w:r>
    </w:p>
    <w:p>
      <w:pPr>
        <w:pStyle w:val="Heading2"/>
        <w:keepNext/>
        <w:keepLines/>
        <w:pageBreakBefore w:val="0"/>
        <w:spacing w:before="280" w:after="140"/>
      </w:pPr>
      <w:r>
        <w:rPr>
          <w:rFonts w:ascii="Calibri" w:hAnsi="Calibri" w:eastAsia="Microsoft YaHei"/>
          <w:b/>
          <w:i w:val="0"/>
          <w:color w:val="2E74B5"/>
          <w:sz w:val="26"/>
        </w:rPr>
        <w:t>1.2 明确不继承的内容</w:t>
      </w:r>
    </w:p>
    <w:p>
      <w:pPr>
        <w:pStyle w:val="ListBullet"/>
        <w:spacing w:after="80" w:line="300" w:lineRule="auto"/>
        <w:ind w:left="540" w:hanging="271"/>
      </w:pPr>
      <w:r>
        <w:rPr>
          <w:rFonts w:ascii="Calibri" w:hAnsi="Calibri" w:eastAsia="Microsoft YaHei"/>
          <w:b w:val="0"/>
          <w:i w:val="0"/>
          <w:color w:val="1F2937"/>
          <w:sz w:val="22"/>
        </w:rPr>
        <w:t>源文件前半部分的 12—15 页压缩型报告结构；正式目录以《总体研究报告最终写作骨架 V1.0》为准。</w:t>
      </w:r>
    </w:p>
    <w:p>
      <w:pPr>
        <w:pStyle w:val="ListBullet"/>
        <w:spacing w:after="80" w:line="300" w:lineRule="auto"/>
        <w:ind w:left="540" w:hanging="271"/>
      </w:pPr>
      <w:r>
        <w:rPr>
          <w:rFonts w:ascii="Calibri" w:hAnsi="Calibri" w:eastAsia="Microsoft YaHei"/>
          <w:b w:val="0"/>
          <w:i w:val="0"/>
          <w:color w:val="1F2937"/>
          <w:sz w:val="22"/>
        </w:rPr>
        <w:t>把“控制移动、可控编辑断层、作者主导感”直接当成既定三结论的写法；这些只可作为待检验线索。</w:t>
      </w:r>
    </w:p>
    <w:p>
      <w:pPr>
        <w:pStyle w:val="ListBullet"/>
        <w:spacing w:after="80" w:line="300" w:lineRule="auto"/>
        <w:ind w:left="540" w:hanging="271"/>
      </w:pPr>
      <w:r>
        <w:rPr>
          <w:rFonts w:ascii="Calibri" w:hAnsi="Calibri" w:eastAsia="Microsoft YaHei"/>
          <w:b w:val="0"/>
          <w:i w:val="0"/>
          <w:color w:val="1F2937"/>
          <w:sz w:val="22"/>
        </w:rPr>
        <w:t>预设图表数量、产品建议和章节页数，不作为当前报告的硬约束。</w:t>
      </w:r>
    </w:p>
    <w:p>
      <w:pPr>
        <w:pStyle w:val="ListBullet"/>
        <w:spacing w:after="80" w:line="300" w:lineRule="auto"/>
        <w:ind w:left="540" w:hanging="271"/>
      </w:pPr>
      <w:r>
        <w:rPr>
          <w:rFonts w:ascii="Calibri" w:hAnsi="Calibri" w:eastAsia="Microsoft YaHei"/>
          <w:b w:val="0"/>
          <w:i w:val="0"/>
          <w:color w:val="1F2937"/>
          <w:sz w:val="22"/>
        </w:rPr>
        <w:t>完整变量编码表和全部次要统计；需要时回到源文件附录或原始导出。</w:t>
      </w:r>
    </w:p>
    <w:p>
      <w:pPr>
        <w:pStyle w:val="Heading2"/>
        <w:keepNext/>
        <w:keepLines/>
        <w:pageBreakBefore w:val="0"/>
        <w:spacing w:before="280" w:after="140"/>
      </w:pPr>
      <w:r>
        <w:rPr>
          <w:rFonts w:ascii="Calibri" w:hAnsi="Calibri" w:eastAsia="Microsoft YaHei"/>
          <w:b/>
          <w:i w:val="0"/>
          <w:color w:val="2E74B5"/>
          <w:sz w:val="26"/>
        </w:rPr>
        <w:t>1.3 四份基础资料的分工</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1850"/>
        <w:gridCol w:w="2600"/>
        <w:gridCol w:w="1750"/>
        <w:gridCol w:w="3160"/>
      </w:tblGrid>
      <w:tr>
        <w:trPr>
          <w:tblHeader w:val="true"/>
          <w:cantSplit/>
        </w:trPr>
        <w:tc>
          <w:tcPr>
            <w:tcW w:type="dxa" w:w="18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资料</w:t>
            </w:r>
          </w:p>
        </w:tc>
        <w:tc>
          <w:tcPr>
            <w:tcW w:type="dxa" w:w="26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负责回答</w:t>
            </w:r>
          </w:p>
        </w:tc>
        <w:tc>
          <w:tcPr>
            <w:tcW w:type="dxa" w:w="17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使用位置</w:t>
            </w:r>
          </w:p>
        </w:tc>
        <w:tc>
          <w:tcPr>
            <w:tcW w:type="dxa" w:w="316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不能替代</w:t>
            </w:r>
          </w:p>
        </w:tc>
      </w:tr>
      <w:tr>
        <w:trPr>
          <w:cantSplit/>
        </w:trPr>
        <w:tc>
          <w:tcPr>
            <w:tcW w:type="dxa" w:w="18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1. 最终写作骨架</w:t>
            </w:r>
          </w:p>
        </w:tc>
        <w:tc>
          <w:tcPr>
            <w:tcW w:type="dxa" w:w="26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全文有哪些章、每章回答什么</w:t>
            </w:r>
          </w:p>
        </w:tc>
        <w:tc>
          <w:tcPr>
            <w:tcW w:type="dxa" w:w="17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所有章节</w:t>
            </w:r>
          </w:p>
        </w:tc>
        <w:tc>
          <w:tcPr>
            <w:tcW w:type="dxa" w:w="31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证据与数据</w:t>
            </w:r>
          </w:p>
        </w:tc>
      </w:tr>
      <w:tr>
        <w:trPr>
          <w:cantSplit/>
        </w:trPr>
        <w:tc>
          <w:tcPr>
            <w:tcW w:type="dxa" w:w="1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2. 总体边界与重构约束</w:t>
            </w:r>
          </w:p>
        </w:tc>
        <w:tc>
          <w:tcPr>
            <w:tcW w:type="dxa" w:w="26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研究范围、对象、表达强度与禁止事项</w:t>
            </w:r>
          </w:p>
        </w:tc>
        <w:tc>
          <w:tcPr>
            <w:tcW w:type="dxa" w:w="17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所有章节</w:t>
            </w:r>
          </w:p>
        </w:tc>
        <w:tc>
          <w:tcPr>
            <w:tcW w:type="dxa" w:w="31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章节原始分析</w:t>
            </w:r>
          </w:p>
        </w:tc>
      </w:tr>
      <w:tr>
        <w:trPr>
          <w:cantSplit/>
        </w:trPr>
        <w:tc>
          <w:tcPr>
            <w:tcW w:type="dxa" w:w="18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3. 本证据总控与数据概览</w:t>
            </w:r>
          </w:p>
        </w:tc>
        <w:tc>
          <w:tcPr>
            <w:tcW w:type="dxa" w:w="26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有哪些样本、变量、访谈和结论上限</w:t>
            </w:r>
          </w:p>
        </w:tc>
        <w:tc>
          <w:tcPr>
            <w:tcW w:type="dxa" w:w="17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第三至十章</w:t>
            </w:r>
          </w:p>
        </w:tc>
        <w:tc>
          <w:tcPr>
            <w:tcW w:type="dxa" w:w="31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原始数据与逐字稿</w:t>
            </w:r>
          </w:p>
        </w:tc>
      </w:tr>
      <w:tr>
        <w:trPr>
          <w:cantSplit/>
        </w:trPr>
        <w:tc>
          <w:tcPr>
            <w:tcW w:type="dxa" w:w="1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4. 桌面研究</w:t>
            </w:r>
          </w:p>
        </w:tc>
        <w:tc>
          <w:tcPr>
            <w:tcW w:type="dxa" w:w="26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外部背景、产品机制、候选张力与假设来源</w:t>
            </w:r>
          </w:p>
        </w:tc>
        <w:tc>
          <w:tcPr>
            <w:tcW w:type="dxa" w:w="17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第一、四至六、八章</w:t>
            </w:r>
          </w:p>
        </w:tc>
        <w:tc>
          <w:tcPr>
            <w:tcW w:type="dxa" w:w="31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大学生实际行为的实证证据</w:t>
            </w:r>
          </w:p>
        </w:tc>
      </w:tr>
    </w:tbl>
    <w:p>
      <w:pPr>
        <w:spacing w:after="40"/>
      </w:pPr>
    </w:p>
    <w:p>
      <w:pPr>
        <w:pStyle w:val="Heading1"/>
        <w:keepNext/>
        <w:keepLines/>
        <w:pageBreakBefore w:val="0"/>
        <w:spacing w:before="360" w:after="200"/>
      </w:pPr>
      <w:r>
        <w:rPr>
          <w:rFonts w:ascii="Calibri" w:hAnsi="Calibri" w:eastAsia="Microsoft YaHei"/>
          <w:b/>
          <w:i w:val="0"/>
          <w:color w:val="2E74B5"/>
          <w:sz w:val="32"/>
        </w:rPr>
        <w:t>二、数据结构、清洗流程与固定分母</w:t>
      </w:r>
    </w:p>
    <w:p>
      <w:pPr>
        <w:pStyle w:val="Heading2"/>
        <w:keepNext/>
        <w:keepLines/>
        <w:pageBreakBefore w:val="0"/>
        <w:spacing w:before="280" w:after="140"/>
      </w:pPr>
      <w:r>
        <w:rPr>
          <w:rFonts w:ascii="Calibri" w:hAnsi="Calibri" w:eastAsia="Microsoft YaHei"/>
          <w:b/>
          <w:i w:val="0"/>
          <w:color w:val="2E74B5"/>
          <w:sz w:val="26"/>
        </w:rPr>
        <w:t>2.1 原始数据结构</w:t>
      </w:r>
    </w:p>
    <w:p>
      <w:pPr>
        <w:keepLines w:val="0"/>
        <w:spacing w:before="0" w:after="120" w:line="300" w:lineRule="auto"/>
      </w:pPr>
      <w:r>
        <w:rPr>
          <w:rFonts w:ascii="Calibri" w:hAnsi="Calibri" w:eastAsia="Microsoft YaHei"/>
          <w:b w:val="0"/>
          <w:i w:val="0"/>
          <w:color w:val="1F2937"/>
          <w:sz w:val="22"/>
        </w:rPr>
        <w:t>原始 CSV 为长表，共 6,736 行答案、117 个唯一数据库记录。数据库 ID 是答卷主键；单选题通常一行，多选题按选项拆成多行，矩阵题按矩阵行拆分。题目未显示或开放题留空时，往往没有对应行，因此答案行数不能直接当作答卷数。</w:t>
      </w:r>
    </w:p>
    <w:p>
      <w:pPr>
        <w:pStyle w:val="ListBullet"/>
        <w:spacing w:after="80" w:line="300" w:lineRule="auto"/>
        <w:ind w:left="540" w:hanging="271"/>
      </w:pPr>
      <w:r>
        <w:rPr>
          <w:rFonts w:ascii="Calibri" w:hAnsi="Calibri" w:eastAsia="Microsoft YaHei"/>
          <w:b w:val="0"/>
          <w:i w:val="0"/>
          <w:color w:val="1F2937"/>
          <w:sz w:val="22"/>
        </w:rPr>
        <w:t>多选题计数前先按数据库 ID 去重，分母是进入该题且有效的答卷数，不是答案行数或勾选总次数。</w:t>
      </w:r>
    </w:p>
    <w:p>
      <w:pPr>
        <w:pStyle w:val="ListBullet"/>
        <w:spacing w:after="80" w:line="300" w:lineRule="auto"/>
        <w:ind w:left="540" w:hanging="271"/>
      </w:pPr>
      <w:r>
        <w:rPr>
          <w:rFonts w:ascii="Calibri" w:hAnsi="Calibri" w:eastAsia="Microsoft YaHei"/>
          <w:b w:val="0"/>
          <w:i w:val="0"/>
          <w:color w:val="1F2937"/>
          <w:sz w:val="22"/>
        </w:rPr>
        <w:t>矩阵题按“同一答卷—同一矩阵行”计算；五点量表通常为 1=非常不同意/非常低，5=非常同意/非常高。</w:t>
      </w:r>
    </w:p>
    <w:p>
      <w:pPr>
        <w:pStyle w:val="ListBullet"/>
        <w:spacing w:after="80" w:line="300" w:lineRule="auto"/>
        <w:ind w:left="540" w:hanging="271"/>
      </w:pPr>
      <w:r>
        <w:rPr>
          <w:rFonts w:ascii="Calibri" w:hAnsi="Calibri" w:eastAsia="Microsoft YaHei"/>
          <w:b w:val="0"/>
          <w:i w:val="0"/>
          <w:color w:val="1F2937"/>
          <w:sz w:val="22"/>
        </w:rPr>
        <w:t>H5 v2、H5 v7 与腾讯问卷存在题干和路由差异，只有在语义可比时才合并。</w:t>
      </w:r>
    </w:p>
    <w:p>
      <w:pPr>
        <w:pStyle w:val="Heading2"/>
        <w:keepNext/>
        <w:keepLines/>
        <w:pageBreakBefore w:val="0"/>
        <w:spacing w:before="280" w:after="140"/>
      </w:pPr>
      <w:r>
        <w:rPr>
          <w:rFonts w:ascii="Calibri" w:hAnsi="Calibri" w:eastAsia="Microsoft YaHei"/>
          <w:b/>
          <w:i w:val="0"/>
          <w:color w:val="2E74B5"/>
          <w:sz w:val="26"/>
        </w:rPr>
        <w:t>2.2 从原始记录到大学生核心样本</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2050"/>
        <w:gridCol w:w="850"/>
        <w:gridCol w:w="4050"/>
        <w:gridCol w:w="2410"/>
      </w:tblGrid>
      <w:tr>
        <w:trPr>
          <w:tblHeader w:val="true"/>
          <w:cantSplit/>
        </w:trPr>
        <w:tc>
          <w:tcPr>
            <w:tcW w:type="dxa" w:w="20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步骤</w:t>
            </w:r>
          </w:p>
        </w:tc>
        <w:tc>
          <w:tcPr>
            <w:tcW w:type="dxa" w:w="8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N</w:t>
            </w:r>
          </w:p>
        </w:tc>
        <w:tc>
          <w:tcPr>
            <w:tcW w:type="dxa" w:w="40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处理</w:t>
            </w:r>
          </w:p>
        </w:tc>
        <w:tc>
          <w:tcPr>
            <w:tcW w:type="dxa" w:w="241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后续用途</w:t>
            </w:r>
          </w:p>
        </w:tc>
      </w:tr>
      <w:tr>
        <w:trPr>
          <w:cantSplit/>
        </w:trPr>
        <w:tc>
          <w:tcPr>
            <w:tcW w:type="dxa" w:w="20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原始导出</w:t>
            </w:r>
          </w:p>
        </w:tc>
        <w:tc>
          <w:tcPr>
            <w:tcW w:type="dxa" w:w="8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117</w:t>
            </w:r>
          </w:p>
        </w:tc>
        <w:tc>
          <w:tcPr>
            <w:tcW w:type="dxa" w:w="40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保留全部记录用于审计</w:t>
            </w:r>
          </w:p>
        </w:tc>
        <w:tc>
          <w:tcPr>
            <w:tcW w:type="dxa" w:w="24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仅作为起点</w:t>
            </w:r>
          </w:p>
        </w:tc>
      </w:tr>
      <w:tr>
        <w:trPr>
          <w:cantSplit/>
        </w:trPr>
        <w:tc>
          <w:tcPr>
            <w:tcW w:type="dxa" w:w="20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排除不兼容历史问卷</w:t>
            </w:r>
          </w:p>
        </w:tc>
        <w:tc>
          <w:tcPr>
            <w:tcW w:type="dxa" w:w="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116</w:t>
            </w:r>
          </w:p>
        </w:tc>
        <w:tc>
          <w:tcPr>
            <w:tcW w:type="dxa" w:w="40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排除题库结构不可比的 H5 历史档案 1 份</w:t>
            </w:r>
          </w:p>
        </w:tc>
        <w:tc>
          <w:tcPr>
            <w:tcW w:type="dxa" w:w="241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当前可比较记录</w:t>
            </w:r>
          </w:p>
        </w:tc>
      </w:tr>
      <w:tr>
        <w:trPr>
          <w:cantSplit/>
        </w:trPr>
        <w:tc>
          <w:tcPr>
            <w:tcW w:type="dxa" w:w="20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排除完全重复提交</w:t>
            </w:r>
          </w:p>
        </w:tc>
        <w:tc>
          <w:tcPr>
            <w:tcW w:type="dxa" w:w="8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115</w:t>
            </w:r>
          </w:p>
        </w:tc>
        <w:tc>
          <w:tcPr>
            <w:tcW w:type="dxa" w:w="40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保留较早记录；剔除约 7 分钟后、44 行答案完全一致的重复提交</w:t>
            </w:r>
          </w:p>
        </w:tc>
        <w:tc>
          <w:tcPr>
            <w:tcW w:type="dxa" w:w="24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清洁池</w:t>
            </w:r>
          </w:p>
        </w:tc>
      </w:tr>
      <w:tr>
        <w:trPr>
          <w:cantSplit/>
        </w:trPr>
        <w:tc>
          <w:tcPr>
            <w:tcW w:type="dxa" w:w="20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限定大学生</w:t>
            </w:r>
          </w:p>
        </w:tc>
        <w:tc>
          <w:tcPr>
            <w:tcW w:type="dxa" w:w="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69</w:t>
            </w:r>
          </w:p>
        </w:tc>
        <w:tc>
          <w:tcPr>
            <w:tcW w:type="dxa" w:w="40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身份范围=student</w:t>
            </w:r>
          </w:p>
        </w:tc>
        <w:tc>
          <w:tcPr>
            <w:tcW w:type="dxa" w:w="241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正式报告核心定量样本</w:t>
            </w:r>
          </w:p>
        </w:tc>
      </w:tr>
      <w:tr>
        <w:trPr>
          <w:cantSplit/>
        </w:trPr>
        <w:tc>
          <w:tcPr>
            <w:tcW w:type="dxa" w:w="20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非大学生/未知</w:t>
            </w:r>
          </w:p>
        </w:tc>
        <w:tc>
          <w:tcPr>
            <w:tcW w:type="dxa" w:w="8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45 / 1</w:t>
            </w:r>
          </w:p>
        </w:tc>
        <w:tc>
          <w:tcPr>
            <w:tcW w:type="dxa" w:w="40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不并入大学生核心结论</w:t>
            </w:r>
          </w:p>
        </w:tc>
        <w:tc>
          <w:tcPr>
            <w:tcW w:type="dxa" w:w="24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必要时仅作补充观察</w:t>
            </w:r>
          </w:p>
        </w:tc>
      </w:tr>
    </w:tbl>
    <w:p>
      <w:pPr>
        <w:spacing w:after="40"/>
      </w:pPr>
    </w:p>
    <w:p>
      <w:pPr>
        <w:spacing w:before="60" w:after="120" w:line="276" w:lineRule="auto"/>
      </w:pPr>
      <w:r>
        <w:rPr>
          <w:rFonts w:ascii="Calibri" w:hAnsi="Calibri" w:eastAsia="Microsoft YaHei"/>
          <w:b w:val="0"/>
          <w:i/>
          <w:color w:val="5B6573"/>
          <w:sz w:val="18"/>
        </w:rPr>
        <w:t>审计标识：历史版本排除 ff6e9385-3429-4102-bd42-17af84903c9b；重复保留 77addbf9-d33a-452c-b298-bfaa182f2fd6；重复剔除 e189cfa5-c303-4f18-a002-5a67129464e6。</w:t>
      </w:r>
    </w:p>
    <w:p>
      <w:pPr>
        <w:pStyle w:val="Heading2"/>
        <w:keepNext/>
        <w:keepLines/>
        <w:pageBreakBefore w:val="0"/>
        <w:spacing w:before="280" w:after="140"/>
      </w:pPr>
      <w:r>
        <w:rPr>
          <w:rFonts w:ascii="Calibri" w:hAnsi="Calibri" w:eastAsia="Microsoft YaHei"/>
          <w:b/>
          <w:i w:val="0"/>
          <w:color w:val="2E74B5"/>
          <w:sz w:val="26"/>
        </w:rPr>
        <w:t>2.3 固定分母注册表</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1900"/>
        <w:gridCol w:w="650"/>
        <w:gridCol w:w="3650"/>
        <w:gridCol w:w="3160"/>
      </w:tblGrid>
      <w:tr>
        <w:trPr>
          <w:tblHeader w:val="true"/>
          <w:cantSplit/>
        </w:trPr>
        <w:tc>
          <w:tcPr>
            <w:tcW w:type="dxa" w:w="19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层级</w:t>
            </w:r>
          </w:p>
        </w:tc>
        <w:tc>
          <w:tcPr>
            <w:tcW w:type="dxa" w:w="6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N</w:t>
            </w:r>
          </w:p>
        </w:tc>
        <w:tc>
          <w:tcPr>
            <w:tcW w:type="dxa" w:w="36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定义</w:t>
            </w:r>
          </w:p>
        </w:tc>
        <w:tc>
          <w:tcPr>
            <w:tcW w:type="dxa" w:w="316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允许的解释</w:t>
            </w:r>
          </w:p>
        </w:tc>
      </w:tr>
      <w:tr>
        <w:trPr>
          <w:cantSplit/>
        </w:trPr>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清洁池</w:t>
            </w:r>
          </w:p>
        </w:tc>
        <w:tc>
          <w:tcPr>
            <w:tcW w:type="dxa" w:w="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115</w:t>
            </w:r>
          </w:p>
        </w:tc>
        <w:tc>
          <w:tcPr>
            <w:tcW w:type="dxa" w:w="3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排除历史版本与完全重复后的全部身份</w:t>
            </w:r>
          </w:p>
        </w:tc>
        <w:tc>
          <w:tcPr>
            <w:tcW w:type="dxa" w:w="31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版本/来源审计；不代表大学生总体</w:t>
            </w:r>
          </w:p>
        </w:tc>
      </w:tr>
      <w:tr>
        <w:trPr>
          <w:cantSplit/>
        </w:trPr>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大学生核心</w:t>
            </w:r>
          </w:p>
        </w:tc>
        <w:tc>
          <w:tcPr>
            <w:tcW w:type="dxa" w:w="6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69</w:t>
            </w:r>
          </w:p>
        </w:tc>
        <w:tc>
          <w:tcPr>
            <w:tcW w:type="dxa" w:w="36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清洁池中身份范围=student</w:t>
            </w:r>
          </w:p>
        </w:tc>
        <w:tc>
          <w:tcPr>
            <w:tcW w:type="dxa" w:w="31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共同筛选题与样本结构</w:t>
            </w:r>
          </w:p>
        </w:tc>
      </w:tr>
      <w:tr>
        <w:trPr>
          <w:cantSplit/>
        </w:trPr>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创作者结构题</w:t>
            </w:r>
          </w:p>
        </w:tc>
        <w:tc>
          <w:tcPr>
            <w:tcW w:type="dxa" w:w="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50</w:t>
            </w:r>
          </w:p>
        </w:tc>
        <w:tc>
          <w:tcPr>
            <w:tcW w:type="dxa" w:w="3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进入 P2—P6 的大学生</w:t>
            </w:r>
          </w:p>
        </w:tc>
        <w:tc>
          <w:tcPr>
            <w:tcW w:type="dxa" w:w="31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能力、项目与总体变化分布</w:t>
            </w:r>
          </w:p>
        </w:tc>
      </w:tr>
      <w:tr>
        <w:trPr>
          <w:cantSplit/>
        </w:trPr>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专业工具任务题</w:t>
            </w:r>
          </w:p>
        </w:tc>
        <w:tc>
          <w:tcPr>
            <w:tcW w:type="dxa" w:w="6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37</w:t>
            </w:r>
          </w:p>
        </w:tc>
        <w:tc>
          <w:tcPr>
            <w:tcW w:type="dxa" w:w="36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进入 CC1/CC2 的大学生</w:t>
            </w:r>
          </w:p>
        </w:tc>
        <w:tc>
          <w:tcPr>
            <w:tcW w:type="dxa" w:w="31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任务/阶段分布；后续深答少 1 份</w:t>
            </w:r>
          </w:p>
        </w:tc>
      </w:tr>
      <w:tr>
        <w:trPr>
          <w:cantSplit/>
        </w:trPr>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专业工具深答</w:t>
            </w:r>
          </w:p>
        </w:tc>
        <w:tc>
          <w:tcPr>
            <w:tcW w:type="dxa" w:w="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36</w:t>
            </w:r>
          </w:p>
        </w:tc>
        <w:tc>
          <w:tcPr>
            <w:tcW w:type="dxa" w:w="3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完成 CC3—CC7 的大学生</w:t>
            </w:r>
          </w:p>
        </w:tc>
        <w:tc>
          <w:tcPr>
            <w:tcW w:type="dxa" w:w="31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协同、采用状态与自评</w:t>
            </w:r>
          </w:p>
        </w:tc>
      </w:tr>
      <w:tr>
        <w:trPr>
          <w:cantSplit/>
        </w:trPr>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主要工具已确认</w:t>
            </w:r>
          </w:p>
        </w:tc>
        <w:tc>
          <w:tcPr>
            <w:tcW w:type="dxa" w:w="6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33</w:t>
            </w:r>
          </w:p>
        </w:tc>
        <w:tc>
          <w:tcPr>
            <w:tcW w:type="dxa" w:w="36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回答 MAIN_TOOL 的大学生</w:t>
            </w:r>
          </w:p>
        </w:tc>
        <w:tc>
          <w:tcPr>
            <w:tcW w:type="dxa" w:w="31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主要工具类别；版本缺失不补值</w:t>
            </w:r>
          </w:p>
        </w:tc>
      </w:tr>
      <w:tr>
        <w:trPr>
          <w:cantSplit/>
        </w:trPr>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Codex 主工具</w:t>
            </w:r>
          </w:p>
        </w:tc>
        <w:tc>
          <w:tcPr>
            <w:tcW w:type="dxa" w:w="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15</w:t>
            </w:r>
          </w:p>
        </w:tc>
        <w:tc>
          <w:tcPr>
            <w:tcW w:type="dxa" w:w="3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MAIN_TOOL=Codex 且完成深答</w:t>
            </w:r>
          </w:p>
        </w:tc>
        <w:tc>
          <w:tcPr>
            <w:tcW w:type="dxa" w:w="31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生产端核心定量子组</w:t>
            </w:r>
          </w:p>
        </w:tc>
      </w:tr>
      <w:tr>
        <w:trPr>
          <w:cantSplit/>
        </w:trPr>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平台原始路径</w:t>
            </w:r>
          </w:p>
        </w:tc>
        <w:tc>
          <w:tcPr>
            <w:tcW w:type="dxa" w:w="6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7</w:t>
            </w:r>
          </w:p>
        </w:tc>
        <w:tc>
          <w:tcPr>
            <w:tcW w:type="dxa" w:w="36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进入 TM1—TM7 的大学生</w:t>
            </w:r>
          </w:p>
        </w:tc>
        <w:tc>
          <w:tcPr>
            <w:tcW w:type="dxa" w:w="31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仅供记录级复核</w:t>
            </w:r>
          </w:p>
        </w:tc>
      </w:tr>
      <w:tr>
        <w:trPr>
          <w:cantSplit/>
        </w:trPr>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平台一致性子组</w:t>
            </w:r>
          </w:p>
        </w:tc>
        <w:tc>
          <w:tcPr>
            <w:tcW w:type="dxa" w:w="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6</w:t>
            </w:r>
          </w:p>
        </w:tc>
        <w:tc>
          <w:tcPr>
            <w:tcW w:type="dxa" w:w="3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排除 Trae+DeepSeek API 误归类 1 份</w:t>
            </w:r>
          </w:p>
        </w:tc>
        <w:tc>
          <w:tcPr>
            <w:tcW w:type="dxa" w:w="31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只报人数与分布；方向性证据</w:t>
            </w:r>
          </w:p>
        </w:tc>
      </w:tr>
      <w:tr>
        <w:trPr>
          <w:cantSplit/>
        </w:trPr>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消费模块</w:t>
            </w:r>
          </w:p>
        </w:tc>
        <w:tc>
          <w:tcPr>
            <w:tcW w:type="dxa" w:w="6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15</w:t>
            </w:r>
          </w:p>
        </w:tc>
        <w:tc>
          <w:tcPr>
            <w:tcW w:type="dxa" w:w="36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完成 C1—C13 的大学生</w:t>
            </w:r>
          </w:p>
        </w:tc>
        <w:tc>
          <w:tcPr>
            <w:tcW w:type="dxa" w:w="31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模块作答，不等于实际游玩</w:t>
            </w:r>
          </w:p>
        </w:tc>
      </w:tr>
      <w:tr>
        <w:trPr>
          <w:cantSplit/>
        </w:trPr>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实际游玩一致性子组</w:t>
            </w:r>
          </w:p>
        </w:tc>
        <w:tc>
          <w:tcPr>
            <w:tcW w:type="dxa" w:w="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6</w:t>
            </w:r>
          </w:p>
        </w:tc>
        <w:tc>
          <w:tcPr>
            <w:tcW w:type="dxa" w:w="36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C1/C2/S7/S8 与 C3 人工复核一致，且不止打开页面</w:t>
            </w:r>
          </w:p>
        </w:tc>
        <w:tc>
          <w:tcPr>
            <w:tcW w:type="dxa" w:w="31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体验、标签影响、信任与支持；只报人数</w:t>
            </w:r>
          </w:p>
        </w:tc>
      </w:tr>
    </w:tbl>
    <w:p>
      <w:pPr>
        <w:spacing w:after="40"/>
      </w:pPr>
    </w:p>
    <w:p>
      <w:pPr>
        <w:pStyle w:val="Heading2"/>
        <w:keepNext/>
        <w:keepLines/>
        <w:pageBreakBefore w:val="0"/>
        <w:spacing w:before="280" w:after="140"/>
      </w:pPr>
      <w:r>
        <w:rPr>
          <w:rFonts w:ascii="Calibri" w:hAnsi="Calibri" w:eastAsia="Microsoft YaHei"/>
          <w:b/>
          <w:i w:val="0"/>
          <w:color w:val="2E74B5"/>
          <w:sz w:val="26"/>
        </w:rPr>
        <w:t>2.4 二次一致性复核</w:t>
      </w:r>
    </w:p>
    <w:tbl>
      <w:tblPr>
        <w:tblW w:type="dxa" w:w="9360"/>
        <w:jc w:val="left"/>
        <w:tblLayout w:type="fixed"/>
        <w:tblLook w:firstColumn="1" w:firstRow="1" w:lastColumn="0" w:lastRow="0" w:noHBand="0" w:noVBand="1" w:val="04A0"/>
        <w:tblInd w:w="120" w:type="dxa"/>
        <w:tblBorders>
          <w:top w:val="single" w:sz="6" w:space="0" w:color="C8D5E2"/>
          <w:left w:val="single" w:sz="6" w:space="0" w:color="C8D5E2"/>
          <w:bottom w:val="single" w:sz="6" w:space="0" w:color="C8D5E2"/>
          <w:right w:val="single" w:sz="6" w:space="0" w:color="C8D5E2"/>
          <w:insideH w:val="single" w:sz="6" w:space="0" w:color="C8D5E2"/>
          <w:insideV w:val="single" w:sz="6" w:space="0" w:color="C8D5E2"/>
        </w:tblBorders>
      </w:tblPr>
      <w:tblGrid>
        <w:gridCol w:w="9360"/>
      </w:tblGrid>
      <w:tr>
        <w:tc>
          <w:tcPr>
            <w:tcW w:type="dxa" w:w="9360"/>
            <w:tcMar>
              <w:top w:w="80" w:type="dxa"/>
              <w:start w:w="120" w:type="dxa"/>
              <w:bottom w:w="80" w:type="dxa"/>
              <w:end w:w="120" w:type="dxa"/>
            </w:tcMar>
            <w:vAlign w:val="center"/>
            <w:shd w:fill="F4F7FA"/>
          </w:tcPr>
          <w:p>
            <w:pPr>
              <w:spacing w:before="40" w:after="40" w:line="288" w:lineRule="auto"/>
            </w:pPr>
            <w:r>
              <w:rPr>
                <w:rFonts w:ascii="Calibri" w:hAnsi="Calibri" w:eastAsia="Microsoft YaHei"/>
                <w:b/>
                <w:i w:val="0"/>
                <w:color w:val="1F4D78"/>
                <w:sz w:val="22"/>
              </w:rPr>
              <w:t>平台端：</w:t>
            </w:r>
            <w:r>
              <w:rPr>
                <w:rFonts w:ascii="Calibri" w:hAnsi="Calibri" w:eastAsia="Microsoft YaHei"/>
                <w:b w:val="0"/>
                <w:i w:val="0"/>
                <w:color w:val="1F2937"/>
                <w:sz w:val="22"/>
              </w:rPr>
              <w:t>TM 路径共 7 份大学生记录，其中 1 份 MAIN_PLATFORM 开放填写为“Trae 接 DeepSeek Pro API”，属于专业工具组合而非一站式 AI 游戏创作平台。该记录不进入平台汇总，最终一致性子组 N=6。</w:t>
            </w:r>
          </w:p>
        </w:tc>
      </w:tr>
    </w:tbl>
    <w:p>
      <w:pPr>
        <w:spacing w:after="40"/>
      </w:pPr>
    </w:p>
    <w:tbl>
      <w:tblPr>
        <w:tblW w:type="dxa" w:w="9360"/>
        <w:jc w:val="left"/>
        <w:tblLayout w:type="fixed"/>
        <w:tblLook w:firstColumn="1" w:firstRow="1" w:lastColumn="0" w:lastRow="0" w:noHBand="0" w:noVBand="1" w:val="04A0"/>
        <w:tblInd w:w="120" w:type="dxa"/>
        <w:tblBorders>
          <w:top w:val="single" w:sz="6" w:space="0" w:color="C8D5E2"/>
          <w:left w:val="single" w:sz="6" w:space="0" w:color="C8D5E2"/>
          <w:bottom w:val="single" w:sz="6" w:space="0" w:color="C8D5E2"/>
          <w:right w:val="single" w:sz="6" w:space="0" w:color="C8D5E2"/>
          <w:insideH w:val="single" w:sz="6" w:space="0" w:color="C8D5E2"/>
          <w:insideV w:val="single" w:sz="6" w:space="0" w:color="C8D5E2"/>
        </w:tblBorders>
      </w:tblPr>
      <w:tblGrid>
        <w:gridCol w:w="9360"/>
      </w:tblGrid>
      <w:tr>
        <w:tc>
          <w:tcPr>
            <w:tcW w:type="dxa" w:w="9360"/>
            <w:tcMar>
              <w:top w:w="80" w:type="dxa"/>
              <w:start w:w="120" w:type="dxa"/>
              <w:bottom w:w="80" w:type="dxa"/>
              <w:end w:w="120" w:type="dxa"/>
            </w:tcMar>
            <w:vAlign w:val="center"/>
            <w:shd w:fill="F4F7FA"/>
          </w:tcPr>
          <w:p>
            <w:pPr>
              <w:spacing w:before="40" w:after="40" w:line="288" w:lineRule="auto"/>
            </w:pPr>
            <w:r>
              <w:rPr>
                <w:rFonts w:ascii="Calibri" w:hAnsi="Calibri" w:eastAsia="Microsoft YaHei"/>
                <w:b/>
                <w:i w:val="0"/>
                <w:color w:val="1F4D78"/>
                <w:sz w:val="22"/>
              </w:rPr>
              <w:t>消费端：</w:t>
            </w:r>
            <w:r>
              <w:rPr>
                <w:rFonts w:ascii="Calibri" w:hAnsi="Calibri" w:eastAsia="Microsoft YaHei"/>
                <w:b w:val="0"/>
                <w:i w:val="0"/>
                <w:color w:val="1F2937"/>
                <w:sz w:val="22"/>
              </w:rPr>
              <w:t>C 模块共 15 份大学生记录。只有平台/作品线索与一站式 AI 作品语境相容、C3 不止“仅打开页面”、且筛选题与体验题不存在决定性冲突的记录进入实际游玩一致性子组，最终 N=6。玩家 D 因问卷路由与访谈直接体验冲突，不并入该 6 人统计，仅作为独立定性个案。</w:t>
            </w:r>
          </w:p>
        </w:tc>
      </w:tr>
    </w:tbl>
    <w:p>
      <w:pPr>
        <w:spacing w:after="40"/>
      </w:pPr>
    </w:p>
    <w:p>
      <w:pPr>
        <w:pStyle w:val="Heading2"/>
        <w:keepNext/>
        <w:keepLines/>
        <w:pageBreakBefore w:val="0"/>
        <w:spacing w:before="280" w:after="140"/>
      </w:pPr>
      <w:r>
        <w:rPr>
          <w:rFonts w:ascii="Calibri" w:hAnsi="Calibri" w:eastAsia="Microsoft YaHei"/>
          <w:b/>
          <w:i w:val="0"/>
          <w:color w:val="2E74B5"/>
          <w:sz w:val="26"/>
        </w:rPr>
        <w:t>2.5 缺失与小样本规则</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1900"/>
        <w:gridCol w:w="7460"/>
      </w:tblGrid>
      <w:tr>
        <w:trPr>
          <w:tblHeader w:val="true"/>
          <w:cantSplit/>
        </w:trPr>
        <w:tc>
          <w:tcPr>
            <w:tcW w:type="dxa" w:w="19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规则</w:t>
            </w:r>
          </w:p>
        </w:tc>
        <w:tc>
          <w:tcPr>
            <w:tcW w:type="dxa" w:w="746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统一口径</w:t>
            </w:r>
          </w:p>
        </w:tc>
      </w:tr>
      <w:tr>
        <w:trPr>
          <w:cantSplit/>
        </w:trPr>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结构性缺失</w:t>
            </w:r>
          </w:p>
        </w:tc>
        <w:tc>
          <w:tcPr>
            <w:tcW w:type="dxa" w:w="74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因分支未显示、来源版本未设置或未进入相应路径造成；不得补 0。</w:t>
            </w:r>
          </w:p>
        </w:tc>
      </w:tr>
      <w:tr>
        <w:trPr>
          <w:cantSplit/>
        </w:trPr>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开放题缺失</w:t>
            </w:r>
          </w:p>
        </w:tc>
        <w:tc>
          <w:tcPr>
            <w:tcW w:type="dxa" w:w="74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允许留空；只影响可用文本数，不自动剔除整份答卷。</w:t>
            </w:r>
          </w:p>
        </w:tc>
      </w:tr>
      <w:tr>
        <w:trPr>
          <w:cantSplit/>
        </w:trPr>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多选题</w:t>
            </w:r>
          </w:p>
        </w:tc>
        <w:tc>
          <w:tcPr>
            <w:tcW w:type="dxa" w:w="74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一个选择一行；按数据库 ID 去重后计数，分母为进入该题的答卷数。</w:t>
            </w:r>
          </w:p>
        </w:tc>
      </w:tr>
      <w:tr>
        <w:trPr>
          <w:cantSplit/>
        </w:trPr>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矩阵方向</w:t>
            </w:r>
          </w:p>
        </w:tc>
        <w:tc>
          <w:tcPr>
            <w:tcW w:type="dxa" w:w="74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P6/G1 含正负向陈述，C6-05 为负向含义；未明确反向规则前不得合成总分。</w:t>
            </w:r>
          </w:p>
        </w:tc>
      </w:tr>
      <w:tr>
        <w:trPr>
          <w:cantSplit/>
        </w:trPr>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小样本</w:t>
            </w:r>
          </w:p>
        </w:tc>
        <w:tc>
          <w:tcPr>
            <w:tcW w:type="dxa" w:w="74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N&lt;10 只报人数与分布，不写百分比、均值排名或统计显著性。</w:t>
            </w:r>
          </w:p>
        </w:tc>
      </w:tr>
      <w:tr>
        <w:trPr>
          <w:cantSplit/>
        </w:trPr>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不追加任意清洗</w:t>
            </w:r>
          </w:p>
        </w:tc>
        <w:tc>
          <w:tcPr>
            <w:tcW w:type="dxa" w:w="74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不以答题时长、中性分、短开放回答或某种路径为由主观删样本。</w:t>
            </w:r>
          </w:p>
        </w:tc>
      </w:tr>
    </w:tbl>
    <w:p>
      <w:pPr>
        <w:spacing w:after="40"/>
      </w:pPr>
    </w:p>
    <w:p>
      <w:r>
        <w:br w:type="page"/>
      </w:r>
    </w:p>
    <w:p>
      <w:pPr>
        <w:pStyle w:val="Heading1"/>
        <w:keepNext/>
        <w:keepLines/>
        <w:pageBreakBefore w:val="0"/>
        <w:spacing w:before="360" w:after="200"/>
      </w:pPr>
      <w:r>
        <w:rPr>
          <w:rFonts w:ascii="Calibri" w:hAnsi="Calibri" w:eastAsia="Microsoft YaHei"/>
          <w:b/>
          <w:i w:val="0"/>
          <w:color w:val="2E74B5"/>
          <w:sz w:val="32"/>
        </w:rPr>
        <w:t>三、三端核心问题与证据总控</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2880"/>
        <w:gridCol w:w="2120"/>
        <w:gridCol w:w="1880"/>
        <w:gridCol w:w="2480"/>
      </w:tblGrid>
      <w:tr>
        <w:trPr>
          <w:tblHeader w:val="true"/>
          <w:cantSplit/>
        </w:trPr>
        <w:tc>
          <w:tcPr>
            <w:tcW w:type="dxa" w:w="288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核心问题</w:t>
            </w:r>
          </w:p>
        </w:tc>
        <w:tc>
          <w:tcPr>
            <w:tcW w:type="dxa" w:w="212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定量材料</w:t>
            </w:r>
          </w:p>
        </w:tc>
        <w:tc>
          <w:tcPr>
            <w:tcW w:type="dxa" w:w="188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定性材料</w:t>
            </w:r>
          </w:p>
        </w:tc>
        <w:tc>
          <w:tcPr>
            <w:tcW w:type="dxa" w:w="248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结论上限</w:t>
            </w:r>
          </w:p>
        </w:tc>
      </w:tr>
      <w:tr>
        <w:trPr>
          <w:cantSplit/>
        </w:trPr>
        <w:tc>
          <w:tcPr>
            <w:tcW w:type="dxa" w:w="288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生产端：大学生开发者使用 Codex 时，核心诉求是什么？人与 AI 如何协同，什么顺、什么卡？</w:t>
            </w:r>
          </w:p>
        </w:tc>
        <w:tc>
          <w:tcPr>
            <w:tcW w:type="dxa" w:w="212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Codex 主工具 N=15；必要时回看 P2/P4/P6 与 CC1—CC7</w:t>
            </w:r>
          </w:p>
        </w:tc>
        <w:tc>
          <w:tcPr>
            <w:tcW w:type="dxa" w:w="188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开发者 A/B/C；开发者 E 仅作机制对照</w:t>
            </w:r>
          </w:p>
        </w:tc>
        <w:tc>
          <w:tcPr>
            <w:tcW w:type="dxa" w:w="248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说明任务、处理与控制如何随项目条件变化；不推断总体、客观生产率或代码质量</w:t>
            </w:r>
          </w:p>
        </w:tc>
      </w:tr>
      <w:tr>
        <w:trPr>
          <w:cantSplit/>
        </w:trPr>
        <w:tc>
          <w:tcPr>
            <w:tcW w:type="dxa" w:w="288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平台端：以 TapTap 制造为案例锚点，一站式平台从生成到可玩/发布之间发生了什么？</w:t>
            </w:r>
          </w:p>
        </w:tc>
        <w:tc>
          <w:tcPr>
            <w:tcW w:type="dxa" w:w="212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平台一致性子组 N=6；TM1—TM7，TM8 开放文本按实际可用数</w:t>
            </w:r>
          </w:p>
        </w:tc>
        <w:tc>
          <w:tcPr>
            <w:tcW w:type="dxa" w:w="188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没有平台创作者访谈</w:t>
            </w:r>
          </w:p>
        </w:tc>
        <w:tc>
          <w:tcPr>
            <w:tcW w:type="dxa" w:w="248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只能形成跨平台方向性观察；TapTap 制造不承担平台专属结论</w:t>
            </w:r>
          </w:p>
        </w:tc>
      </w:tr>
      <w:tr>
        <w:trPr>
          <w:cantSplit/>
        </w:trPr>
        <w:tc>
          <w:tcPr>
            <w:tcW w:type="dxa" w:w="288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消费端：大学生玩家依据什么形成判断？何时从“试”走向“继续支持”？</w:t>
            </w:r>
          </w:p>
        </w:tc>
        <w:tc>
          <w:tcPr>
            <w:tcW w:type="dxa" w:w="212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实际游玩一致性子组 N=6；C1—C13 经人工复核</w:t>
            </w:r>
          </w:p>
        </w:tc>
        <w:tc>
          <w:tcPr>
            <w:tcW w:type="dxa" w:w="188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玩家 D，独立于 N=6</w:t>
            </w:r>
          </w:p>
        </w:tc>
        <w:tc>
          <w:tcPr>
            <w:tcW w:type="dxa" w:w="248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讨论主观判断、信任与支持意愿；不测识别准确率、标签因果、真实行为</w:t>
            </w:r>
          </w:p>
        </w:tc>
      </w:tr>
    </w:tbl>
    <w:p>
      <w:pPr>
        <w:spacing w:after="40"/>
      </w:pPr>
    </w:p>
    <w:tbl>
      <w:tblPr>
        <w:tblW w:type="dxa" w:w="9360"/>
        <w:jc w:val="left"/>
        <w:tblLayout w:type="fixed"/>
        <w:tblLook w:firstColumn="1" w:firstRow="1" w:lastColumn="0" w:lastRow="0" w:noHBand="0" w:noVBand="1" w:val="04A0"/>
        <w:tblInd w:w="120" w:type="dxa"/>
        <w:tblBorders>
          <w:top w:val="single" w:sz="6" w:space="0" w:color="C8D5E2"/>
          <w:left w:val="single" w:sz="6" w:space="0" w:color="C8D5E2"/>
          <w:bottom w:val="single" w:sz="6" w:space="0" w:color="C8D5E2"/>
          <w:right w:val="single" w:sz="6" w:space="0" w:color="C8D5E2"/>
          <w:insideH w:val="single" w:sz="6" w:space="0" w:color="C8D5E2"/>
          <w:insideV w:val="single" w:sz="6" w:space="0" w:color="C8D5E2"/>
        </w:tblBorders>
      </w:tblPr>
      <w:tblGrid>
        <w:gridCol w:w="9360"/>
      </w:tblGrid>
      <w:tr>
        <w:tc>
          <w:tcPr>
            <w:tcW w:type="dxa" w:w="9360"/>
            <w:tcMar>
              <w:top w:w="80" w:type="dxa"/>
              <w:start w:w="120" w:type="dxa"/>
              <w:bottom w:w="80" w:type="dxa"/>
              <w:end w:w="120" w:type="dxa"/>
            </w:tcMar>
            <w:vAlign w:val="center"/>
            <w:shd w:fill="F4F7FA"/>
          </w:tcPr>
          <w:p>
            <w:pPr>
              <w:spacing w:before="40" w:after="40" w:line="288" w:lineRule="auto"/>
            </w:pPr>
            <w:r>
              <w:rPr>
                <w:rFonts w:ascii="Calibri" w:hAnsi="Calibri" w:eastAsia="Microsoft YaHei"/>
                <w:b/>
                <w:i w:val="0"/>
                <w:color w:val="1F4D78"/>
                <w:sz w:val="22"/>
              </w:rPr>
              <w:t>跨端上限：</w:t>
            </w:r>
            <w:r>
              <w:rPr>
                <w:rFonts w:ascii="Calibri" w:hAnsi="Calibri" w:eastAsia="Microsoft YaHei"/>
                <w:b w:val="0"/>
                <w:i w:val="0"/>
                <w:color w:val="1F2937"/>
                <w:sz w:val="22"/>
              </w:rPr>
              <w:t>三端材料可以共同组成解释框架，但不是同一作品、同一用户或同一时间链。第七章只能讨论逻辑上的可能对应，不能证明生产提效如何转化为作品品质、玩家支持或再创作闭环。</w:t>
            </w:r>
          </w:p>
        </w:tc>
      </w:tr>
    </w:tbl>
    <w:p>
      <w:pPr>
        <w:spacing w:after="40"/>
      </w:pPr>
    </w:p>
    <w:p>
      <w:pPr>
        <w:pStyle w:val="Heading1"/>
        <w:keepNext/>
        <w:keepLines/>
        <w:pageBreakBefore w:val="0"/>
        <w:spacing w:before="360" w:after="200"/>
      </w:pPr>
      <w:r>
        <w:rPr>
          <w:rFonts w:ascii="Calibri" w:hAnsi="Calibri" w:eastAsia="Microsoft YaHei"/>
          <w:b/>
          <w:i w:val="0"/>
          <w:color w:val="2E74B5"/>
          <w:sz w:val="32"/>
        </w:rPr>
        <w:t>四、关键变量索引（章节分析入口）</w:t>
      </w:r>
    </w:p>
    <w:p>
      <w:pPr>
        <w:keepLines w:val="0"/>
        <w:spacing w:before="0" w:after="120" w:line="300" w:lineRule="auto"/>
      </w:pPr>
      <w:r>
        <w:rPr>
          <w:rFonts w:ascii="Calibri" w:hAnsi="Calibri" w:eastAsia="Microsoft YaHei"/>
          <w:b w:val="0"/>
          <w:i w:val="0"/>
          <w:color w:val="1F2937"/>
          <w:sz w:val="22"/>
        </w:rPr>
        <w:t>以下仅保留逐章分析最常用的变量入口。完整题干、全部编码与版本措辞仍以源文件附录 A.6 和原始问卷导出为准。</w:t>
      </w:r>
    </w:p>
    <w:p>
      <w:pPr>
        <w:pStyle w:val="Heading2"/>
        <w:keepNext/>
        <w:keepLines/>
        <w:pageBreakBefore w:val="0"/>
        <w:spacing w:before="280" w:after="140"/>
      </w:pPr>
      <w:r>
        <w:rPr>
          <w:rFonts w:ascii="Calibri" w:hAnsi="Calibri" w:eastAsia="Microsoft YaHei"/>
          <w:b/>
          <w:i w:val="0"/>
          <w:color w:val="2E74B5"/>
          <w:sz w:val="26"/>
        </w:rPr>
        <w:t>4.1 生产端变量</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1250"/>
        <w:gridCol w:w="3140"/>
        <w:gridCol w:w="2900"/>
        <w:gridCol w:w="2070"/>
      </w:tblGrid>
      <w:tr>
        <w:trPr>
          <w:tblHeader w:val="true"/>
          <w:cantSplit/>
        </w:trPr>
        <w:tc>
          <w:tcPr>
            <w:tcW w:type="dxa" w:w="12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变量</w:t>
            </w:r>
          </w:p>
        </w:tc>
        <w:tc>
          <w:tcPr>
            <w:tcW w:type="dxa" w:w="314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主要内容</w:t>
            </w:r>
          </w:p>
        </w:tc>
        <w:tc>
          <w:tcPr>
            <w:tcW w:type="dxa" w:w="29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用于回答</w:t>
            </w:r>
          </w:p>
        </w:tc>
        <w:tc>
          <w:tcPr>
            <w:tcW w:type="dxa" w:w="207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原始学生 N / 核心分母</w:t>
            </w:r>
          </w:p>
        </w:tc>
      </w:tr>
      <w:tr>
        <w:trPr>
          <w:cantSplit/>
        </w:trPr>
        <w:tc>
          <w:tcPr>
            <w:tcW w:type="dxa" w:w="12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MAIN_TOOL</w:t>
            </w:r>
          </w:p>
        </w:tc>
        <w:tc>
          <w:tcPr>
            <w:tcW w:type="dxa" w:w="31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最深入或最近主要使用的专业 AI 编程工具</w:t>
            </w:r>
          </w:p>
        </w:tc>
        <w:tc>
          <w:tcPr>
            <w:tcW w:type="dxa" w:w="2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筛选 Codex 主工具组</w:t>
            </w:r>
          </w:p>
        </w:tc>
        <w:tc>
          <w:tcPr>
            <w:tcW w:type="dxa" w:w="20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33 / Codex 15</w:t>
            </w:r>
          </w:p>
        </w:tc>
      </w:tr>
      <w:tr>
        <w:trPr>
          <w:cantSplit/>
        </w:trPr>
        <w:tc>
          <w:tcPr>
            <w:tcW w:type="dxa" w:w="12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P2、P4</w:t>
            </w:r>
          </w:p>
        </w:tc>
        <w:tc>
          <w:tcPr>
            <w:tcW w:type="dxa" w:w="31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程序基础；不使用 AI 时的独立完成能力</w:t>
            </w:r>
          </w:p>
        </w:tc>
        <w:tc>
          <w:tcPr>
            <w:tcW w:type="dxa" w:w="2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用户基础与起点诉求</w:t>
            </w:r>
          </w:p>
        </w:tc>
        <w:tc>
          <w:tcPr>
            <w:tcW w:type="dxa" w:w="20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50 / 按题</w:t>
            </w:r>
          </w:p>
        </w:tc>
      </w:tr>
      <w:tr>
        <w:trPr>
          <w:cantSplit/>
        </w:trPr>
        <w:tc>
          <w:tcPr>
            <w:tcW w:type="dxa" w:w="12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P6</w:t>
            </w:r>
          </w:p>
        </w:tc>
        <w:tc>
          <w:tcPr>
            <w:tcW w:type="dxa" w:w="31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速度、复杂任务、依赖、人工检查、返工、玩法尝试、可玩结果</w:t>
            </w:r>
          </w:p>
        </w:tc>
        <w:tc>
          <w:tcPr>
            <w:tcW w:type="dxa" w:w="2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总体变化背景</w:t>
            </w:r>
          </w:p>
        </w:tc>
        <w:tc>
          <w:tcPr>
            <w:tcW w:type="dxa" w:w="20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50 / 按题</w:t>
            </w:r>
          </w:p>
        </w:tc>
      </w:tr>
      <w:tr>
        <w:trPr>
          <w:cantSplit/>
        </w:trPr>
        <w:tc>
          <w:tcPr>
            <w:tcW w:type="dxa" w:w="12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CC1、CC2</w:t>
            </w:r>
          </w:p>
        </w:tc>
        <w:tc>
          <w:tcPr>
            <w:tcW w:type="dxa" w:w="31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处理的程序任务；进入的项目阶段</w:t>
            </w:r>
          </w:p>
        </w:tc>
        <w:tc>
          <w:tcPr>
            <w:tcW w:type="dxa" w:w="2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任务范围与工作流位置</w:t>
            </w:r>
          </w:p>
        </w:tc>
        <w:tc>
          <w:tcPr>
            <w:tcW w:type="dxa" w:w="20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37 / Codex 15</w:t>
            </w:r>
          </w:p>
        </w:tc>
      </w:tr>
      <w:tr>
        <w:trPr>
          <w:cantSplit/>
        </w:trPr>
        <w:tc>
          <w:tcPr>
            <w:tcW w:type="dxa" w:w="12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CC3</w:t>
            </w:r>
          </w:p>
        </w:tc>
        <w:tc>
          <w:tcPr>
            <w:tcW w:type="dxa" w:w="31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速度、调试、项目理解、能力补足、重复劳动、代码质量自评</w:t>
            </w:r>
          </w:p>
        </w:tc>
        <w:tc>
          <w:tcPr>
            <w:tcW w:type="dxa" w:w="2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帮助结构与张力</w:t>
            </w:r>
          </w:p>
        </w:tc>
        <w:tc>
          <w:tcPr>
            <w:tcW w:type="dxa" w:w="20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36 / Codex 15</w:t>
            </w:r>
          </w:p>
        </w:tc>
      </w:tr>
      <w:tr>
        <w:trPr>
          <w:cantSplit/>
        </w:trPr>
        <w:tc>
          <w:tcPr>
            <w:tcW w:type="dxa" w:w="12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CC4</w:t>
            </w:r>
          </w:p>
        </w:tc>
        <w:tc>
          <w:tcPr>
            <w:tcW w:type="dxa" w:w="31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直接使用、小改、大改、测试、队友检查、只采纳思路、放弃</w:t>
            </w:r>
          </w:p>
        </w:tc>
        <w:tc>
          <w:tcPr>
            <w:tcW w:type="dxa" w:w="2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人工处理方式</w:t>
            </w:r>
          </w:p>
        </w:tc>
        <w:tc>
          <w:tcPr>
            <w:tcW w:type="dxa" w:w="20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36 / Codex 15</w:t>
            </w:r>
          </w:p>
        </w:tc>
      </w:tr>
      <w:tr>
        <w:trPr>
          <w:cantSplit/>
        </w:trPr>
        <w:tc>
          <w:tcPr>
            <w:tcW w:type="dxa" w:w="12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CC5</w:t>
            </w:r>
          </w:p>
        </w:tc>
        <w:tc>
          <w:tcPr>
            <w:tcW w:type="dxa" w:w="31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判断、定位、解释、维护与依赖风险控制自评</w:t>
            </w:r>
          </w:p>
        </w:tc>
        <w:tc>
          <w:tcPr>
            <w:tcW w:type="dxa" w:w="2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可审查与可维护诉求</w:t>
            </w:r>
          </w:p>
        </w:tc>
        <w:tc>
          <w:tcPr>
            <w:tcW w:type="dxa" w:w="20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36 / Codex 15</w:t>
            </w:r>
          </w:p>
        </w:tc>
      </w:tr>
      <w:tr>
        <w:trPr>
          <w:cantSplit/>
        </w:trPr>
        <w:tc>
          <w:tcPr>
            <w:tcW w:type="dxa" w:w="12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CC6、CC7</w:t>
            </w:r>
          </w:p>
        </w:tc>
        <w:tc>
          <w:tcPr>
            <w:tcW w:type="dxa" w:w="31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项目接入状态；提效/补能/复合价值</w:t>
            </w:r>
          </w:p>
        </w:tc>
        <w:tc>
          <w:tcPr>
            <w:tcW w:type="dxa" w:w="2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结果进入项目与深层诉求</w:t>
            </w:r>
          </w:p>
        </w:tc>
        <w:tc>
          <w:tcPr>
            <w:tcW w:type="dxa" w:w="20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36 / Codex 15</w:t>
            </w:r>
          </w:p>
        </w:tc>
      </w:tr>
      <w:tr>
        <w:trPr>
          <w:cantSplit/>
        </w:trPr>
        <w:tc>
          <w:tcPr>
            <w:tcW w:type="dxa" w:w="12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P1、P7</w:t>
            </w:r>
          </w:p>
        </w:tc>
        <w:tc>
          <w:tcPr>
            <w:tcW w:type="dxa" w:w="31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项目概况与典型使用片段开放题</w:t>
            </w:r>
          </w:p>
        </w:tc>
        <w:tc>
          <w:tcPr>
            <w:tcW w:type="dxa" w:w="2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个案线索与主题编码</w:t>
            </w:r>
          </w:p>
        </w:tc>
        <w:tc>
          <w:tcPr>
            <w:tcW w:type="dxa" w:w="20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45/47 / 实际可用文本</w:t>
            </w:r>
          </w:p>
        </w:tc>
      </w:tr>
    </w:tbl>
    <w:p>
      <w:pPr>
        <w:spacing w:after="40"/>
      </w:pPr>
    </w:p>
    <w:p>
      <w:pPr>
        <w:pStyle w:val="Heading2"/>
        <w:keepNext/>
        <w:keepLines/>
        <w:pageBreakBefore w:val="0"/>
        <w:spacing w:before="280" w:after="140"/>
      </w:pPr>
      <w:r>
        <w:rPr>
          <w:rFonts w:ascii="Calibri" w:hAnsi="Calibri" w:eastAsia="Microsoft YaHei"/>
          <w:b/>
          <w:i w:val="0"/>
          <w:color w:val="2E74B5"/>
          <w:sz w:val="26"/>
        </w:rPr>
        <w:t>4.2 平台端变量</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1200"/>
        <w:gridCol w:w="3500"/>
        <w:gridCol w:w="2760"/>
        <w:gridCol w:w="1900"/>
      </w:tblGrid>
      <w:tr>
        <w:trPr>
          <w:tblHeader w:val="true"/>
          <w:cantSplit/>
        </w:trPr>
        <w:tc>
          <w:tcPr>
            <w:tcW w:type="dxa" w:w="12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变量</w:t>
            </w:r>
          </w:p>
        </w:tc>
        <w:tc>
          <w:tcPr>
            <w:tcW w:type="dxa" w:w="35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主要内容</w:t>
            </w:r>
          </w:p>
        </w:tc>
        <w:tc>
          <w:tcPr>
            <w:tcW w:type="dxa" w:w="276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用于回答</w:t>
            </w:r>
          </w:p>
        </w:tc>
        <w:tc>
          <w:tcPr>
            <w:tcW w:type="dxa" w:w="19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最终口径</w:t>
            </w:r>
          </w:p>
        </w:tc>
      </w:tr>
      <w:tr>
        <w:trPr>
          <w:cantSplit/>
        </w:trPr>
        <w:tc>
          <w:tcPr>
            <w:tcW w:type="dxa" w:w="12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MAIN_PLATFORM</w:t>
            </w:r>
          </w:p>
        </w:tc>
        <w:tc>
          <w:tcPr>
            <w:tcW w:type="dxa" w:w="35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实际使用或体验最深入的平台</w:t>
            </w:r>
          </w:p>
        </w:tc>
        <w:tc>
          <w:tcPr>
            <w:tcW w:type="dxa" w:w="27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确认平台锚点与误分类</w:t>
            </w:r>
          </w:p>
        </w:tc>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先记录级复核</w:t>
            </w:r>
          </w:p>
        </w:tc>
      </w:tr>
      <w:tr>
        <w:trPr>
          <w:cantSplit/>
        </w:trPr>
        <w:tc>
          <w:tcPr>
            <w:tcW w:type="dxa" w:w="12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TM1</w:t>
            </w:r>
          </w:p>
        </w:tc>
        <w:tc>
          <w:tcPr>
            <w:tcW w:type="dxa" w:w="35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从想法生成到发布/分享的任务动作</w:t>
            </w:r>
          </w:p>
        </w:tc>
        <w:tc>
          <w:tcPr>
            <w:tcW w:type="dxa" w:w="27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起点用途与任务范围</w:t>
            </w:r>
          </w:p>
        </w:tc>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一致性 N=6</w:t>
            </w:r>
          </w:p>
        </w:tc>
      </w:tr>
      <w:tr>
        <w:trPr>
          <w:cantSplit/>
        </w:trPr>
        <w:tc>
          <w:tcPr>
            <w:tcW w:type="dxa" w:w="12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TM2</w:t>
            </w:r>
          </w:p>
        </w:tc>
        <w:tc>
          <w:tcPr>
            <w:tcW w:type="dxa" w:w="35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生成、修改或内容调整轮次</w:t>
            </w:r>
          </w:p>
        </w:tc>
        <w:tc>
          <w:tcPr>
            <w:tcW w:type="dxa" w:w="27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过程强度的描述</w:t>
            </w:r>
          </w:p>
        </w:tc>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只报人数；不等同使用深度</w:t>
            </w:r>
          </w:p>
        </w:tc>
      </w:tr>
      <w:tr>
        <w:trPr>
          <w:cantSplit/>
        </w:trPr>
        <w:tc>
          <w:tcPr>
            <w:tcW w:type="dxa" w:w="12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TM3</w:t>
            </w:r>
          </w:p>
        </w:tc>
        <w:tc>
          <w:tcPr>
            <w:tcW w:type="dxa" w:w="35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可玩逻辑、减少编码、玩法验证、调试、整合、低基础启动</w:t>
            </w:r>
          </w:p>
        </w:tc>
        <w:tc>
          <w:tcPr>
            <w:tcW w:type="dxa" w:w="27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平台帮助方向</w:t>
            </w:r>
          </w:p>
        </w:tc>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一致性 N=6</w:t>
            </w:r>
          </w:p>
        </w:tc>
      </w:tr>
      <w:tr>
        <w:trPr>
          <w:cantSplit/>
        </w:trPr>
        <w:tc>
          <w:tcPr>
            <w:tcW w:type="dxa" w:w="12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TM4</w:t>
            </w:r>
          </w:p>
        </w:tc>
        <w:tc>
          <w:tcPr>
            <w:tcW w:type="dxa" w:w="35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需求描述、方向选择、筛选、测试、替换素材、质量判断等人工控制</w:t>
            </w:r>
          </w:p>
        </w:tc>
        <w:tc>
          <w:tcPr>
            <w:tcW w:type="dxa" w:w="27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生成后的人的动作</w:t>
            </w:r>
          </w:p>
        </w:tc>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一致性 N=6</w:t>
            </w:r>
          </w:p>
        </w:tc>
      </w:tr>
      <w:tr>
        <w:trPr>
          <w:cantSplit/>
        </w:trPr>
        <w:tc>
          <w:tcPr>
            <w:tcW w:type="dxa" w:w="12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TM5、TM6</w:t>
            </w:r>
          </w:p>
        </w:tc>
        <w:tc>
          <w:tcPr>
            <w:tcW w:type="dxa" w:w="35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最终作品状态；降低的门槛类型</w:t>
            </w:r>
          </w:p>
        </w:tc>
        <w:tc>
          <w:tcPr>
            <w:tcW w:type="dxa" w:w="27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从启动到可玩/发布</w:t>
            </w:r>
          </w:p>
        </w:tc>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一致性 N=6</w:t>
            </w:r>
          </w:p>
        </w:tc>
      </w:tr>
      <w:tr>
        <w:trPr>
          <w:cantSplit/>
        </w:trPr>
        <w:tc>
          <w:tcPr>
            <w:tcW w:type="dxa" w:w="12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TM7</w:t>
            </w:r>
          </w:p>
        </w:tc>
        <w:tc>
          <w:tcPr>
            <w:tcW w:type="dxa" w:w="35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表达、稳定、玩法深度、精确修改、Bug、素材一致、导出维护、版权</w:t>
            </w:r>
          </w:p>
        </w:tc>
        <w:tc>
          <w:tcPr>
            <w:tcW w:type="dxa" w:w="276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主要断点</w:t>
            </w:r>
          </w:p>
        </w:tc>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一致性 N=6</w:t>
            </w:r>
          </w:p>
        </w:tc>
      </w:tr>
      <w:tr>
        <w:trPr>
          <w:cantSplit/>
        </w:trPr>
        <w:tc>
          <w:tcPr>
            <w:tcW w:type="dxa" w:w="12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TM8</w:t>
            </w:r>
          </w:p>
        </w:tc>
        <w:tc>
          <w:tcPr>
            <w:tcW w:type="dxa" w:w="35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典型平台创作过程开放题</w:t>
            </w:r>
          </w:p>
        </w:tc>
        <w:tc>
          <w:tcPr>
            <w:tcW w:type="dxa" w:w="276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补充过程线索</w:t>
            </w:r>
          </w:p>
        </w:tc>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仅 2 份学生文本；不可替代访谈</w:t>
            </w:r>
          </w:p>
        </w:tc>
      </w:tr>
    </w:tbl>
    <w:p>
      <w:pPr>
        <w:spacing w:after="40"/>
      </w:pPr>
    </w:p>
    <w:p>
      <w:pPr>
        <w:pStyle w:val="Heading2"/>
        <w:keepNext/>
        <w:keepLines/>
        <w:pageBreakBefore w:val="0"/>
        <w:spacing w:before="280" w:after="140"/>
      </w:pPr>
      <w:r>
        <w:rPr>
          <w:rFonts w:ascii="Calibri" w:hAnsi="Calibri" w:eastAsia="Microsoft YaHei"/>
          <w:b/>
          <w:i w:val="0"/>
          <w:color w:val="2E74B5"/>
          <w:sz w:val="26"/>
        </w:rPr>
        <w:t>4.3 消费端变量</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1200"/>
        <w:gridCol w:w="3410"/>
        <w:gridCol w:w="2850"/>
        <w:gridCol w:w="1900"/>
      </w:tblGrid>
      <w:tr>
        <w:trPr>
          <w:tblHeader w:val="true"/>
          <w:cantSplit/>
        </w:trPr>
        <w:tc>
          <w:tcPr>
            <w:tcW w:type="dxa" w:w="12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变量</w:t>
            </w:r>
          </w:p>
        </w:tc>
        <w:tc>
          <w:tcPr>
            <w:tcW w:type="dxa" w:w="341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主要内容</w:t>
            </w:r>
          </w:p>
        </w:tc>
        <w:tc>
          <w:tcPr>
            <w:tcW w:type="dxa" w:w="28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用于回答</w:t>
            </w:r>
          </w:p>
        </w:tc>
        <w:tc>
          <w:tcPr>
            <w:tcW w:type="dxa" w:w="19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最终口径</w:t>
            </w:r>
          </w:p>
        </w:tc>
      </w:tr>
      <w:tr>
        <w:trPr>
          <w:cantSplit/>
        </w:trPr>
        <w:tc>
          <w:tcPr>
            <w:tcW w:type="dxa" w:w="12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C1—C3</w:t>
            </w:r>
          </w:p>
        </w:tc>
        <w:tc>
          <w:tcPr>
            <w:tcW w:type="dxa" w:w="34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平台/作品线索、来源、实际游玩深度</w:t>
            </w:r>
          </w:p>
        </w:tc>
        <w:tc>
          <w:tcPr>
            <w:tcW w:type="dxa" w:w="28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进入实际游玩一致性子组</w:t>
            </w:r>
          </w:p>
        </w:tc>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人工复核后 N=6</w:t>
            </w:r>
          </w:p>
        </w:tc>
      </w:tr>
      <w:tr>
        <w:trPr>
          <w:cantSplit/>
        </w:trPr>
        <w:tc>
          <w:tcPr>
            <w:tcW w:type="dxa" w:w="12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C5、C6</w:t>
            </w:r>
          </w:p>
        </w:tc>
        <w:tc>
          <w:tcPr>
            <w:tcW w:type="dxa" w:w="341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玩法、操作、反馈、稳定、内容量、耐玩、美术、统一性、完成度等</w:t>
            </w:r>
          </w:p>
        </w:tc>
        <w:tc>
          <w:tcPr>
            <w:tcW w:type="dxa" w:w="2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作品质量与体验评价</w:t>
            </w:r>
          </w:p>
        </w:tc>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N=6；C6-05 为负向</w:t>
            </w:r>
          </w:p>
        </w:tc>
      </w:tr>
      <w:tr>
        <w:trPr>
          <w:cantSplit/>
        </w:trPr>
        <w:tc>
          <w:tcPr>
            <w:tcW w:type="dxa" w:w="12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C8、C9</w:t>
            </w:r>
          </w:p>
        </w:tc>
        <w:tc>
          <w:tcPr>
            <w:tcW w:type="dxa" w:w="34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体验前是否知情；若未告知的主观判断依据</w:t>
            </w:r>
          </w:p>
        </w:tc>
        <w:tc>
          <w:tcPr>
            <w:tcW w:type="dxa" w:w="28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区分知情归因与主动识别</w:t>
            </w:r>
          </w:p>
        </w:tc>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不计算识别准确率</w:t>
            </w:r>
          </w:p>
        </w:tc>
      </w:tr>
      <w:tr>
        <w:trPr>
          <w:cantSplit/>
        </w:trPr>
        <w:tc>
          <w:tcPr>
            <w:tcW w:type="dxa" w:w="12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C10</w:t>
            </w:r>
          </w:p>
        </w:tc>
        <w:tc>
          <w:tcPr>
            <w:tcW w:type="dxa" w:w="341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知道或感知 AI 后的评价变化</w:t>
            </w:r>
          </w:p>
        </w:tc>
        <w:tc>
          <w:tcPr>
            <w:tcW w:type="dxa" w:w="2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标签反应方向</w:t>
            </w:r>
          </w:p>
        </w:tc>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6 人中 4 无影响、1 更愿尝试、1 略减分</w:t>
            </w:r>
          </w:p>
        </w:tc>
      </w:tr>
      <w:tr>
        <w:trPr>
          <w:cantSplit/>
        </w:trPr>
        <w:tc>
          <w:tcPr>
            <w:tcW w:type="dxa" w:w="12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C11</w:t>
            </w:r>
          </w:p>
        </w:tc>
        <w:tc>
          <w:tcPr>
            <w:tcW w:type="dxa" w:w="34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透明、版权、创作者用心、稳定、原创性、价格等信任条件</w:t>
            </w:r>
          </w:p>
        </w:tc>
        <w:tc>
          <w:tcPr>
            <w:tcW w:type="dxa" w:w="28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信任条件</w:t>
            </w:r>
          </w:p>
        </w:tc>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N=6；只报人数/分布</w:t>
            </w:r>
          </w:p>
        </w:tc>
      </w:tr>
      <w:tr>
        <w:trPr>
          <w:cantSplit/>
        </w:trPr>
        <w:tc>
          <w:tcPr>
            <w:tcW w:type="dxa" w:w="12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C12</w:t>
            </w:r>
          </w:p>
        </w:tc>
        <w:tc>
          <w:tcPr>
            <w:tcW w:type="dxa" w:w="341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继续游玩、推荐、关注、小额付费、提交反馈的意愿</w:t>
            </w:r>
          </w:p>
        </w:tc>
        <w:tc>
          <w:tcPr>
            <w:tcW w:type="dxa" w:w="2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不同支持动作的门槛</w:t>
            </w:r>
          </w:p>
        </w:tc>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意愿不等于真实行为</w:t>
            </w:r>
          </w:p>
        </w:tc>
      </w:tr>
      <w:tr>
        <w:trPr>
          <w:cantSplit/>
        </w:trPr>
        <w:tc>
          <w:tcPr>
            <w:tcW w:type="dxa" w:w="12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C7、C13</w:t>
            </w:r>
          </w:p>
        </w:tc>
        <w:tc>
          <w:tcPr>
            <w:tcW w:type="dxa" w:w="34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与普通小游戏/独立游戏/UGC 的差异、优势和问题</w:t>
            </w:r>
          </w:p>
        </w:tc>
        <w:tc>
          <w:tcPr>
            <w:tcW w:type="dxa" w:w="28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开放文本主题</w:t>
            </w:r>
          </w:p>
        </w:tc>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按实际可用文本，不估计比例</w:t>
            </w:r>
          </w:p>
        </w:tc>
      </w:tr>
    </w:tbl>
    <w:p>
      <w:pPr>
        <w:spacing w:after="40"/>
      </w:pPr>
    </w:p>
    <w:p>
      <w:pPr>
        <w:pStyle w:val="Heading2"/>
        <w:keepNext/>
        <w:keepLines/>
        <w:pageBreakBefore w:val="0"/>
        <w:spacing w:before="280" w:after="140"/>
      </w:pPr>
      <w:r>
        <w:rPr>
          <w:rFonts w:ascii="Calibri" w:hAnsi="Calibri" w:eastAsia="Microsoft YaHei"/>
          <w:b/>
          <w:i w:val="0"/>
          <w:color w:val="2E74B5"/>
          <w:sz w:val="26"/>
        </w:rPr>
        <w:t>4.4 共同态度与补充分支</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1200"/>
        <w:gridCol w:w="3410"/>
        <w:gridCol w:w="2850"/>
        <w:gridCol w:w="1900"/>
      </w:tblGrid>
      <w:tr>
        <w:trPr>
          <w:tblHeader w:val="true"/>
          <w:cantSplit/>
        </w:trPr>
        <w:tc>
          <w:tcPr>
            <w:tcW w:type="dxa" w:w="12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变量</w:t>
            </w:r>
          </w:p>
        </w:tc>
        <w:tc>
          <w:tcPr>
            <w:tcW w:type="dxa" w:w="341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内容</w:t>
            </w:r>
          </w:p>
        </w:tc>
        <w:tc>
          <w:tcPr>
            <w:tcW w:type="dxa" w:w="28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可用方式</w:t>
            </w:r>
          </w:p>
        </w:tc>
        <w:tc>
          <w:tcPr>
            <w:tcW w:type="dxa" w:w="19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8"/>
              </w:rPr>
              <w:t>边界</w:t>
            </w:r>
          </w:p>
        </w:tc>
      </w:tr>
      <w:tr>
        <w:trPr>
          <w:cantSplit/>
        </w:trPr>
        <w:tc>
          <w:tcPr>
            <w:tcW w:type="dxa" w:w="12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G1</w:t>
            </w:r>
          </w:p>
        </w:tc>
        <w:tc>
          <w:tcPr>
            <w:tcW w:type="dxa" w:w="34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效率、门槛、新玩法、创作诚意、同质化、版权风险</w:t>
            </w:r>
          </w:p>
        </w:tc>
        <w:tc>
          <w:tcPr>
            <w:tcW w:type="dxa" w:w="28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第一章背景或补充态度分布</w:t>
            </w:r>
          </w:p>
        </w:tc>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含正负项，不轻易合成</w:t>
            </w:r>
          </w:p>
        </w:tc>
      </w:tr>
      <w:tr>
        <w:trPr>
          <w:cantSplit/>
        </w:trPr>
        <w:tc>
          <w:tcPr>
            <w:tcW w:type="dxa" w:w="12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G2</w:t>
            </w:r>
          </w:p>
        </w:tc>
        <w:tc>
          <w:tcPr>
            <w:tcW w:type="dxa" w:w="341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是否应标注 AI 参与程度</w:t>
            </w:r>
          </w:p>
        </w:tc>
        <w:tc>
          <w:tcPr>
            <w:tcW w:type="dxa" w:w="2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透明度态度背景</w:t>
            </w:r>
          </w:p>
        </w:tc>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不能替代标签因果实验</w:t>
            </w:r>
          </w:p>
        </w:tc>
      </w:tr>
      <w:tr>
        <w:trPr>
          <w:cantSplit/>
        </w:trPr>
        <w:tc>
          <w:tcPr>
            <w:tcW w:type="dxa" w:w="12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Q4.2</w:t>
            </w:r>
          </w:p>
        </w:tc>
        <w:tc>
          <w:tcPr>
            <w:tcW w:type="dxa" w:w="34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尝试后未继续使用工具/平台的原因</w:t>
            </w:r>
          </w:p>
        </w:tc>
        <w:tc>
          <w:tcPr>
            <w:tcW w:type="dxa" w:w="28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补充观察</w:t>
            </w:r>
          </w:p>
        </w:tc>
        <w:tc>
          <w:tcPr>
            <w:tcW w:type="dxa" w:w="19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不测留存；题项分支不对称</w:t>
            </w:r>
          </w:p>
        </w:tc>
      </w:tr>
      <w:tr>
        <w:trPr>
          <w:cantSplit/>
        </w:trPr>
        <w:tc>
          <w:tcPr>
            <w:tcW w:type="dxa" w:w="12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8"/>
              </w:rPr>
              <w:t>Q4.3</w:t>
            </w:r>
          </w:p>
        </w:tc>
        <w:tc>
          <w:tcPr>
            <w:tcW w:type="dxa" w:w="341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未实际玩过一站式平台作品的原因</w:t>
            </w:r>
          </w:p>
        </w:tc>
        <w:tc>
          <w:tcPr>
            <w:tcW w:type="dxa" w:w="2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消费端非体验背景</w:t>
            </w:r>
          </w:p>
        </w:tc>
        <w:tc>
          <w:tcPr>
            <w:tcW w:type="dxa" w:w="19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8"/>
              </w:rPr>
              <w:t>不进入实际游玩 N=6</w:t>
            </w:r>
          </w:p>
        </w:tc>
      </w:tr>
    </w:tbl>
    <w:p>
      <w:pPr>
        <w:spacing w:after="40"/>
      </w:pPr>
    </w:p>
    <w:p>
      <w:pPr>
        <w:pStyle w:val="Heading1"/>
        <w:keepNext/>
        <w:keepLines/>
        <w:pageBreakBefore w:val="0"/>
        <w:spacing w:before="360" w:after="200"/>
      </w:pPr>
      <w:r>
        <w:rPr>
          <w:rFonts w:ascii="Calibri" w:hAnsi="Calibri" w:eastAsia="Microsoft YaHei"/>
          <w:b/>
          <w:i w:val="0"/>
          <w:color w:val="2E74B5"/>
          <w:sz w:val="32"/>
        </w:rPr>
        <w:t>五、访谈证据卡与角色边界</w:t>
      </w:r>
    </w:p>
    <w:p>
      <w:pPr>
        <w:keepLines w:val="0"/>
        <w:spacing w:before="0" w:after="120" w:line="300" w:lineRule="auto"/>
      </w:pPr>
      <w:r>
        <w:rPr>
          <w:rFonts w:ascii="Calibri" w:hAnsi="Calibri" w:eastAsia="Microsoft YaHei"/>
          <w:b w:val="0"/>
          <w:i w:val="0"/>
          <w:color w:val="1F2937"/>
          <w:sz w:val="22"/>
        </w:rPr>
        <w:t>访谈不用于估计比例，而用于解释动作、条件、差异与反例。五名受访者在正文中统一使用开发者 A/B/C/E、玩家 D 的匿名别名。</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1700"/>
        <w:gridCol w:w="2300"/>
        <w:gridCol w:w="2730"/>
        <w:gridCol w:w="2630"/>
      </w:tblGrid>
      <w:tr>
        <w:trPr>
          <w:tblHeader w:val="true"/>
          <w:cantSplit/>
        </w:trPr>
        <w:tc>
          <w:tcPr>
            <w:tcW w:type="dxa" w:w="17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角色</w:t>
            </w:r>
          </w:p>
        </w:tc>
        <w:tc>
          <w:tcPr>
            <w:tcW w:type="dxa" w:w="23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身份/项目</w:t>
            </w:r>
          </w:p>
        </w:tc>
        <w:tc>
          <w:tcPr>
            <w:tcW w:type="dxa" w:w="273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关键过程</w:t>
            </w:r>
          </w:p>
        </w:tc>
        <w:tc>
          <w:tcPr>
            <w:tcW w:type="dxa" w:w="263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可用位置与边界</w:t>
            </w:r>
          </w:p>
        </w:tc>
      </w:tr>
      <w:tr>
        <w:trPr>
          <w:cantSplit/>
        </w:trPr>
        <w:tc>
          <w:tcPr>
            <w:tcW w:type="dxa" w:w="17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开发者 A（H5-01）</w:t>
            </w:r>
          </w:p>
        </w:tc>
        <w:tc>
          <w:tcPr>
            <w:tcW w:type="dxa" w:w="23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大三电气专业；48 小时 UE Game Jam；Codex 主力</w:t>
            </w:r>
          </w:p>
        </w:tc>
        <w:tc>
          <w:tcPr>
            <w:tcW w:type="dxa" w:w="273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先拆需求、分对话、用 plan 确认，再运行、Review 与纠偏</w:t>
            </w:r>
          </w:p>
        </w:tc>
        <w:tc>
          <w:tcPr>
            <w:tcW w:type="dxa" w:w="263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说明高控制协同中的架构权、需求拆解权与审查；不代表低基础或长期项目</w:t>
            </w:r>
          </w:p>
        </w:tc>
      </w:tr>
      <w:tr>
        <w:trPr>
          <w:cantSplit/>
        </w:trPr>
        <w:tc>
          <w:tcPr>
            <w:tcW w:type="dxa" w:w="17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开发者 B（H5-02）</w:t>
            </w:r>
          </w:p>
        </w:tc>
        <w:tc>
          <w:tcPr>
            <w:tcW w:type="dxa" w:w="23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软件工程学生；短期命题式 Game Jam Demo</w:t>
            </w:r>
          </w:p>
        </w:tc>
        <w:tc>
          <w:tcPr>
            <w:tcW w:type="dxa" w:w="273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速度优先，要求暴露参数；不符时让 AI 继续改、自己改或放弃</w:t>
            </w:r>
          </w:p>
        </w:tc>
        <w:tc>
          <w:tcPr>
            <w:tcW w:type="dxa" w:w="263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解释“先做出来”与遗漏、耦合、有限理解的交换；不能把能跑写成质量可靠</w:t>
            </w:r>
          </w:p>
        </w:tc>
      </w:tr>
      <w:tr>
        <w:trPr>
          <w:cantSplit/>
        </w:trPr>
        <w:tc>
          <w:tcPr>
            <w:tcW w:type="dxa" w:w="17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开发者 C（H5-03）</w:t>
            </w:r>
          </w:p>
        </w:tc>
        <w:tc>
          <w:tcPr>
            <w:tcW w:type="dxa" w:w="23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非码类专业；Godot；短期 Game Jam 与长期沙盒项目对照</w:t>
            </w:r>
          </w:p>
        </w:tc>
        <w:tc>
          <w:tcPr>
            <w:tcW w:type="dxa" w:w="273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短期允许更宽授权；长期只读扫描、限制目录并由人管理资产</w:t>
            </w:r>
          </w:p>
        </w:tc>
        <w:tc>
          <w:tcPr>
            <w:tcW w:type="dxa" w:w="263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说明同一用户会因项目周期与资产风险调整权限；在校身份需依赖关联样本</w:t>
            </w:r>
          </w:p>
        </w:tc>
      </w:tr>
      <w:tr>
        <w:trPr>
          <w:cantSplit/>
        </w:trPr>
        <w:tc>
          <w:tcPr>
            <w:tcW w:type="dxa" w:w="17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玩家 D（H5-07）</w:t>
            </w:r>
          </w:p>
        </w:tc>
        <w:tc>
          <w:tcPr>
            <w:tcW w:type="dxa" w:w="230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数字媒体/游戏/动画方向学生；线下完整体验 TapTap 制造活动作品</w:t>
            </w:r>
          </w:p>
        </w:tc>
        <w:tc>
          <w:tcPr>
            <w:tcW w:type="dxa" w:w="273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先看玩法、审美、UI 与流程完整性，再判断创作者是否仍在主导</w:t>
            </w:r>
          </w:p>
        </w:tc>
        <w:tc>
          <w:tcPr>
            <w:tcW w:type="dxa" w:w="263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解释标签为何可能弱于作品质量；问卷路由冲突，不并入消费端 N=6</w:t>
            </w:r>
          </w:p>
        </w:tc>
      </w:tr>
      <w:tr>
        <w:trPr>
          <w:cantSplit/>
        </w:trPr>
        <w:tc>
          <w:tcPr>
            <w:tcW w:type="dxa" w:w="17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开发者 E（H5-08）</w:t>
            </w:r>
          </w:p>
        </w:tc>
        <w:tc>
          <w:tcPr>
            <w:tcW w:type="dxa" w:w="230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风景园林学生；低代码基础；使用 WorkBuddy/Trae 制作 Mod</w:t>
            </w:r>
          </w:p>
        </w:tc>
        <w:tc>
          <w:tcPr>
            <w:tcW w:type="dxa" w:w="273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授权工具调试和调用依赖，减少日志搬运，但人工审查与维护较弱</w:t>
            </w:r>
          </w:p>
        </w:tc>
        <w:tc>
          <w:tcPr>
            <w:tcW w:type="dxa" w:w="263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只作授权调试、自动验证与可接管机制对照；非 Codex、非一站式平台</w:t>
            </w:r>
          </w:p>
        </w:tc>
      </w:tr>
    </w:tbl>
    <w:p>
      <w:pPr>
        <w:spacing w:after="40"/>
      </w:pPr>
    </w:p>
    <w:p>
      <w:pPr>
        <w:pStyle w:val="Heading2"/>
        <w:keepNext/>
        <w:keepLines/>
        <w:pageBreakBefore w:val="0"/>
        <w:spacing w:before="280" w:after="140"/>
      </w:pPr>
      <w:r>
        <w:rPr>
          <w:rFonts w:ascii="Calibri" w:hAnsi="Calibri" w:eastAsia="Microsoft YaHei"/>
          <w:b/>
          <w:i w:val="0"/>
          <w:color w:val="2E74B5"/>
          <w:sz w:val="26"/>
        </w:rPr>
        <w:t>5.1 可定位原话</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1300"/>
        <w:gridCol w:w="6150"/>
        <w:gridCol w:w="1910"/>
      </w:tblGrid>
      <w:tr>
        <w:trPr>
          <w:tblHeader w:val="true"/>
          <w:cantSplit/>
        </w:trPr>
        <w:tc>
          <w:tcPr>
            <w:tcW w:type="dxa" w:w="130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角色</w:t>
            </w:r>
          </w:p>
        </w:tc>
        <w:tc>
          <w:tcPr>
            <w:tcW w:type="dxa" w:w="61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原话</w:t>
            </w:r>
          </w:p>
        </w:tc>
        <w:tc>
          <w:tcPr>
            <w:tcW w:type="dxa" w:w="191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定位</w:t>
            </w:r>
          </w:p>
        </w:tc>
      </w:tr>
      <w:tr>
        <w:trPr>
          <w:cantSplit/>
        </w:trPr>
        <w:tc>
          <w:tcPr>
            <w:tcW w:type="dxa" w:w="13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开发者 A</w:t>
            </w:r>
          </w:p>
        </w:tc>
        <w:tc>
          <w:tcPr>
            <w:tcW w:type="dxa" w:w="61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“等主题出来，我就等策划先把策划案大概写好，我这边把需求拆分一遍，然后分多个不同的对话喂给 Codex。”</w:t>
            </w:r>
          </w:p>
        </w:tc>
        <w:tc>
          <w:tcPr>
            <w:tcW w:type="dxa" w:w="19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H5-01 原始逐字稿 P0136—P0138</w:t>
            </w:r>
          </w:p>
        </w:tc>
      </w:tr>
      <w:tr>
        <w:trPr>
          <w:cantSplit/>
        </w:trPr>
        <w:tc>
          <w:tcPr>
            <w:tcW w:type="dxa" w:w="13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开发者 B</w:t>
            </w:r>
          </w:p>
        </w:tc>
        <w:tc>
          <w:tcPr>
            <w:tcW w:type="dxa" w:w="61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“Game Jam 嘛质量不是那么重要，反而先做出来是第一要务。用了 AI，不管你做出来的好不好，肯定是能做出来的。”</w:t>
            </w:r>
          </w:p>
        </w:tc>
        <w:tc>
          <w:tcPr>
            <w:tcW w:type="dxa" w:w="191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H5-02 原始逐字稿 P0180—P0182</w:t>
            </w:r>
          </w:p>
        </w:tc>
      </w:tr>
      <w:tr>
        <w:trPr>
          <w:cantSplit/>
        </w:trPr>
        <w:tc>
          <w:tcPr>
            <w:tcW w:type="dxa" w:w="13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开发者 C</w:t>
            </w:r>
          </w:p>
        </w:tc>
        <w:tc>
          <w:tcPr>
            <w:tcW w:type="dxa" w:w="61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“长期项目文件夹不太会给 AI 动；短期项目资源少，AI 随便建文件夹。”</w:t>
            </w:r>
          </w:p>
        </w:tc>
        <w:tc>
          <w:tcPr>
            <w:tcW w:type="dxa" w:w="19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H5-03 原始逐字稿 P0195—P0197</w:t>
            </w:r>
          </w:p>
        </w:tc>
      </w:tr>
      <w:tr>
        <w:trPr>
          <w:cantSplit/>
        </w:trPr>
        <w:tc>
          <w:tcPr>
            <w:tcW w:type="dxa" w:w="130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玩家 D</w:t>
            </w:r>
          </w:p>
        </w:tc>
        <w:tc>
          <w:tcPr>
            <w:tcW w:type="dxa" w:w="61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“我个人更多承认的是 AI 的工具属性，如何去使用 AI，是主创团队的问题；但是如何呈现作品，这个是主创团队需要思考的问题。”</w:t>
            </w:r>
          </w:p>
        </w:tc>
        <w:tc>
          <w:tcPr>
            <w:tcW w:type="dxa" w:w="191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H5-07 原始逐字稿 P0153—P0154</w:t>
            </w:r>
          </w:p>
        </w:tc>
      </w:tr>
      <w:tr>
        <w:trPr>
          <w:cantSplit/>
        </w:trPr>
        <w:tc>
          <w:tcPr>
            <w:tcW w:type="dxa" w:w="130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开发者 E</w:t>
            </w:r>
          </w:p>
        </w:tc>
        <w:tc>
          <w:tcPr>
            <w:tcW w:type="dxa" w:w="61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“不用自己手动调试，出现代码问题，它的自察解决能力强；就是减少了开发—报错—复制日志—粘贴日志—解决—开发的循环。”</w:t>
            </w:r>
          </w:p>
        </w:tc>
        <w:tc>
          <w:tcPr>
            <w:tcW w:type="dxa" w:w="191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H5-08 原始逐字稿 P0248—P0251</w:t>
            </w:r>
          </w:p>
        </w:tc>
      </w:tr>
    </w:tbl>
    <w:p>
      <w:pPr>
        <w:spacing w:after="40"/>
      </w:pPr>
    </w:p>
    <w:p>
      <w:pPr>
        <w:spacing w:before="60" w:after="120" w:line="276" w:lineRule="auto"/>
      </w:pPr>
      <w:r>
        <w:rPr>
          <w:rFonts w:ascii="Calibri" w:hAnsi="Calibri" w:eastAsia="Microsoft YaHei"/>
          <w:b w:val="0"/>
          <w:i/>
          <w:color w:val="5B6573"/>
          <w:sz w:val="18"/>
        </w:rPr>
        <w:t>写作时仍应回到原始逐字稿核对上下文；此处引文只提供检索锚点，不应脱离前后语境扩张含义。</w:t>
      </w:r>
    </w:p>
    <w:p>
      <w:pPr>
        <w:pStyle w:val="Heading1"/>
        <w:keepNext/>
        <w:keepLines/>
        <w:pageBreakBefore w:val="0"/>
        <w:spacing w:before="360" w:after="200"/>
      </w:pPr>
      <w:r>
        <w:rPr>
          <w:rFonts w:ascii="Calibri" w:hAnsi="Calibri" w:eastAsia="Microsoft YaHei"/>
          <w:b/>
          <w:i w:val="0"/>
          <w:color w:val="2E74B5"/>
          <w:sz w:val="32"/>
        </w:rPr>
        <w:t>六、候选假设池：当前状态与进入第八章的方式</w:t>
      </w:r>
    </w:p>
    <w:p>
      <w:pPr>
        <w:keepLines w:val="0"/>
        <w:spacing w:before="0" w:after="120" w:line="300" w:lineRule="auto"/>
      </w:pPr>
      <w:r>
        <w:rPr>
          <w:rFonts w:ascii="Calibri" w:hAnsi="Calibri" w:eastAsia="Microsoft YaHei"/>
          <w:b w:val="0"/>
          <w:i w:val="0"/>
          <w:color w:val="1F2937"/>
          <w:sz w:val="22"/>
        </w:rPr>
        <w:t>源文件中的候选假设形成时间晚于或接近数据收集结束，不能全部当作预注册假设。下表仅保存与三个核心问题直接相关、后续可能进入第八章的 8 条命题。</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3020"/>
        <w:gridCol w:w="2570"/>
        <w:gridCol w:w="1420"/>
        <w:gridCol w:w="2350"/>
      </w:tblGrid>
      <w:tr>
        <w:trPr>
          <w:tblHeader w:val="true"/>
          <w:cantSplit/>
        </w:trPr>
        <w:tc>
          <w:tcPr>
            <w:tcW w:type="dxa" w:w="302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候选命题</w:t>
            </w:r>
          </w:p>
        </w:tc>
        <w:tc>
          <w:tcPr>
            <w:tcW w:type="dxa" w:w="257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当前材料</w:t>
            </w:r>
          </w:p>
        </w:tc>
        <w:tc>
          <w:tcPr>
            <w:tcW w:type="dxa" w:w="142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当前状态</w:t>
            </w:r>
          </w:p>
        </w:tc>
        <w:tc>
          <w:tcPr>
            <w:tcW w:type="dxa" w:w="23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第八章处理</w:t>
            </w:r>
          </w:p>
        </w:tc>
      </w:tr>
      <w:tr>
        <w:trPr>
          <w:cantSplit/>
        </w:trPr>
        <w:tc>
          <w:tcPr>
            <w:tcW w:type="dxa" w:w="302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一体化生成—编辑—导出—发布更易深度使用</w:t>
            </w:r>
          </w:p>
        </w:tc>
        <w:tc>
          <w:tcPr>
            <w:tcW w:type="dxa" w:w="25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平台 N=6；缺平台创作者访谈</w:t>
            </w:r>
          </w:p>
        </w:tc>
        <w:tc>
          <w:tcPr>
            <w:tcW w:type="dxa" w:w="142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部分支持并修正</w:t>
            </w:r>
          </w:p>
        </w:tc>
        <w:tc>
          <w:tcPr>
            <w:tcW w:type="dxa" w:w="23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可写启动/验证推进；深度受精确修改、稳定性限制</w:t>
            </w:r>
          </w:p>
        </w:tc>
      </w:tr>
      <w:tr>
        <w:trPr>
          <w:cantSplit/>
        </w:trPr>
        <w:tc>
          <w:tcPr>
            <w:tcW w:type="dxa" w:w="302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低基础用户更受学习成本影响</w:t>
            </w:r>
          </w:p>
        </w:tc>
        <w:tc>
          <w:tcPr>
            <w:tcW w:type="dxa" w:w="25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能力基线存在；B/C/E 个案提供纠错方式差异</w:t>
            </w:r>
          </w:p>
        </w:tc>
        <w:tc>
          <w:tcPr>
            <w:tcW w:type="dxa" w:w="142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单案例线索</w:t>
            </w:r>
          </w:p>
        </w:tc>
        <w:tc>
          <w:tcPr>
            <w:tcW w:type="dxa" w:w="23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不做稳定组间差异</w:t>
            </w:r>
          </w:p>
        </w:tc>
      </w:tr>
      <w:tr>
        <w:trPr>
          <w:cantSplit/>
        </w:trPr>
        <w:tc>
          <w:tcPr>
            <w:tcW w:type="dxa" w:w="302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生态承接提高使用深度</w:t>
            </w:r>
          </w:p>
        </w:tc>
        <w:tc>
          <w:tcPr>
            <w:tcW w:type="dxa" w:w="25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仅有接入/协作/发布片段，无生态强度指标</w:t>
            </w:r>
          </w:p>
        </w:tc>
        <w:tc>
          <w:tcPr>
            <w:tcW w:type="dxa" w:w="142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无法检验</w:t>
            </w:r>
          </w:p>
        </w:tc>
        <w:tc>
          <w:tcPr>
            <w:tcW w:type="dxa" w:w="23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保留为机制线索</w:t>
            </w:r>
          </w:p>
        </w:tc>
      </w:tr>
      <w:tr>
        <w:trPr>
          <w:cantSplit/>
        </w:trPr>
        <w:tc>
          <w:tcPr>
            <w:tcW w:type="dxa" w:w="302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AI 标签同时带来新鲜感与低质预期</w:t>
            </w:r>
          </w:p>
        </w:tc>
        <w:tc>
          <w:tcPr>
            <w:tcW w:type="dxa" w:w="25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N=6 评价方向分散；玩家 D 质量优先</w:t>
            </w:r>
          </w:p>
        </w:tc>
        <w:tc>
          <w:tcPr>
            <w:tcW w:type="dxa" w:w="142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部分支持并修正</w:t>
            </w:r>
          </w:p>
        </w:tc>
        <w:tc>
          <w:tcPr>
            <w:tcW w:type="dxa" w:w="23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改写为效应异质且常弱于质量</w:t>
            </w:r>
          </w:p>
        </w:tc>
      </w:tr>
      <w:tr>
        <w:trPr>
          <w:cantSplit/>
        </w:trPr>
        <w:tc>
          <w:tcPr>
            <w:tcW w:type="dxa" w:w="302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长期评价取决于玩法与完成度而非标签</w:t>
            </w:r>
          </w:p>
        </w:tc>
        <w:tc>
          <w:tcPr>
            <w:tcW w:type="dxa" w:w="25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只有一次体验与意愿；玩家 D 有即时评价线索</w:t>
            </w:r>
          </w:p>
        </w:tc>
        <w:tc>
          <w:tcPr>
            <w:tcW w:type="dxa" w:w="142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单案例或文本线索；长期未验证</w:t>
            </w:r>
          </w:p>
        </w:tc>
        <w:tc>
          <w:tcPr>
            <w:tcW w:type="dxa" w:w="23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只写即时评价，不写长期</w:t>
            </w:r>
          </w:p>
        </w:tc>
      </w:tr>
      <w:tr>
        <w:trPr>
          <w:cantSplit/>
        </w:trPr>
        <w:tc>
          <w:tcPr>
            <w:tcW w:type="dxa" w:w="302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玩家能依据 AI 痕迹准确识别</w:t>
            </w:r>
          </w:p>
        </w:tc>
        <w:tc>
          <w:tcPr>
            <w:tcW w:type="dxa" w:w="25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6 人中 5 人体验前已知；无标准答案</w:t>
            </w:r>
          </w:p>
        </w:tc>
        <w:tc>
          <w:tcPr>
            <w:tcW w:type="dxa" w:w="142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无法检验</w:t>
            </w:r>
          </w:p>
        </w:tc>
        <w:tc>
          <w:tcPr>
            <w:tcW w:type="dxa" w:w="23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降级为主观判断依据</w:t>
            </w:r>
          </w:p>
        </w:tc>
      </w:tr>
      <w:tr>
        <w:trPr>
          <w:cantSplit/>
        </w:trPr>
        <w:tc>
          <w:tcPr>
            <w:tcW w:type="dxa" w:w="302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披露使用范围能提高信任或审查强度</w:t>
            </w:r>
          </w:p>
        </w:tc>
        <w:tc>
          <w:tcPr>
            <w:tcW w:type="dxa" w:w="25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无随机披露或前后测</w:t>
            </w:r>
          </w:p>
        </w:tc>
        <w:tc>
          <w:tcPr>
            <w:tcW w:type="dxa" w:w="142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未验证</w:t>
            </w:r>
          </w:p>
        </w:tc>
        <w:tc>
          <w:tcPr>
            <w:tcW w:type="dxa" w:w="235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透明度只能作为信任条件</w:t>
            </w:r>
          </w:p>
        </w:tc>
      </w:tr>
      <w:tr>
        <w:trPr>
          <w:cantSplit/>
        </w:trPr>
        <w:tc>
          <w:tcPr>
            <w:tcW w:type="dxa" w:w="302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缺少人工打磨更易被认为“没灵魂”</w:t>
            </w:r>
          </w:p>
        </w:tc>
        <w:tc>
          <w:tcPr>
            <w:tcW w:type="dxa" w:w="25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开放文本与玩家 D 提供线索</w:t>
            </w:r>
          </w:p>
        </w:tc>
        <w:tc>
          <w:tcPr>
            <w:tcW w:type="dxa" w:w="142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单案例/文本线索</w:t>
            </w:r>
          </w:p>
        </w:tc>
        <w:tc>
          <w:tcPr>
            <w:tcW w:type="dxa" w:w="235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改写为创作者投入与一致性需求</w:t>
            </w:r>
          </w:p>
        </w:tc>
      </w:tr>
    </w:tbl>
    <w:p>
      <w:pPr>
        <w:spacing w:after="40"/>
      </w:pPr>
    </w:p>
    <w:p>
      <w:pPr>
        <w:pStyle w:val="Heading2"/>
        <w:keepNext/>
        <w:keepLines/>
        <w:pageBreakBefore w:val="0"/>
        <w:spacing w:before="280" w:after="140"/>
      </w:pPr>
      <w:r>
        <w:rPr>
          <w:rFonts w:ascii="Calibri" w:hAnsi="Calibri" w:eastAsia="Microsoft YaHei"/>
          <w:b/>
          <w:i w:val="0"/>
          <w:color w:val="2E74B5"/>
          <w:sz w:val="26"/>
        </w:rPr>
        <w:t>6.1 不进入主线结论的命题</w:t>
      </w:r>
    </w:p>
    <w:p>
      <w:pPr>
        <w:pStyle w:val="ListBullet"/>
        <w:spacing w:after="80" w:line="300" w:lineRule="auto"/>
        <w:ind w:left="540" w:hanging="271"/>
      </w:pPr>
      <w:r>
        <w:rPr>
          <w:rFonts w:ascii="Calibri" w:hAnsi="Calibri" w:eastAsia="Microsoft YaHei"/>
          <w:b w:val="0"/>
          <w:i w:val="0"/>
          <w:color w:val="1F2937"/>
          <w:sz w:val="22"/>
        </w:rPr>
        <w:t>价格、免费额度、订阅选择与真实付费弹性：缺少规范行为追踪或交易数据。</w:t>
      </w:r>
    </w:p>
    <w:p>
      <w:pPr>
        <w:pStyle w:val="ListBullet"/>
        <w:spacing w:after="80" w:line="300" w:lineRule="auto"/>
        <w:ind w:left="540" w:hanging="271"/>
      </w:pPr>
      <w:r>
        <w:rPr>
          <w:rFonts w:ascii="Calibri" w:hAnsi="Calibri" w:eastAsia="Microsoft YaHei"/>
          <w:b w:val="0"/>
          <w:i w:val="0"/>
          <w:color w:val="1F2937"/>
          <w:sz w:val="22"/>
        </w:rPr>
        <w:t>平台留存依赖反馈与分发：没有同一作品的发布—反馈—再创作闭环。</w:t>
      </w:r>
    </w:p>
    <w:p>
      <w:pPr>
        <w:pStyle w:val="ListBullet"/>
        <w:spacing w:after="80" w:line="300" w:lineRule="auto"/>
        <w:ind w:left="540" w:hanging="271"/>
      </w:pPr>
      <w:r>
        <w:rPr>
          <w:rFonts w:ascii="Calibri" w:hAnsi="Calibri" w:eastAsia="Microsoft YaHei"/>
          <w:b w:val="0"/>
          <w:i w:val="0"/>
          <w:color w:val="1F2937"/>
          <w:sz w:val="22"/>
        </w:rPr>
        <w:t>版权清晰决定比赛、作品集或公开发布：只有担忧和态度，缺少决策对照。</w:t>
      </w:r>
    </w:p>
    <w:p>
      <w:pPr>
        <w:pStyle w:val="ListBullet"/>
        <w:spacing w:after="80" w:line="300" w:lineRule="auto"/>
        <w:ind w:left="540" w:hanging="271"/>
      </w:pPr>
      <w:r>
        <w:rPr>
          <w:rFonts w:ascii="Calibri" w:hAnsi="Calibri" w:eastAsia="Microsoft YaHei"/>
          <w:b w:val="0"/>
          <w:i w:val="0"/>
          <w:color w:val="1F2937"/>
          <w:sz w:val="22"/>
        </w:rPr>
        <w:t>平台精选、评分和评论必然提高信任：问卷与访谈均无直接过程证据。</w:t>
      </w:r>
    </w:p>
    <w:p>
      <w:pPr>
        <w:pStyle w:val="ListBullet"/>
        <w:spacing w:after="80" w:line="300" w:lineRule="auto"/>
        <w:ind w:left="540" w:hanging="271"/>
      </w:pPr>
      <w:r>
        <w:rPr>
          <w:rFonts w:ascii="Calibri" w:hAnsi="Calibri" w:eastAsia="Microsoft YaHei"/>
          <w:b w:val="0"/>
          <w:i w:val="0"/>
          <w:color w:val="1F2937"/>
          <w:sz w:val="22"/>
        </w:rPr>
        <w:t>玩家更接受 AI 辅助而非全流程生成：没有参与程度对照实验。</w:t>
      </w:r>
    </w:p>
    <w:p>
      <w:pPr>
        <w:pStyle w:val="ListBullet"/>
        <w:spacing w:after="80" w:line="300" w:lineRule="auto"/>
        <w:ind w:left="540" w:hanging="271"/>
      </w:pPr>
      <w:r>
        <w:rPr>
          <w:rFonts w:ascii="Calibri" w:hAnsi="Calibri" w:eastAsia="Microsoft YaHei"/>
          <w:b w:val="0"/>
          <w:i w:val="0"/>
          <w:color w:val="1F2937"/>
          <w:sz w:val="22"/>
        </w:rPr>
        <w:t>供给增加、UGC 容忍度或持续迭代改变玩家判断：缺少匹配作品与前后体验。</w:t>
      </w:r>
    </w:p>
    <w:p>
      <w:r>
        <w:br w:type="page"/>
      </w:r>
    </w:p>
    <w:p>
      <w:pPr>
        <w:pStyle w:val="Heading1"/>
        <w:keepNext/>
        <w:keepLines/>
        <w:pageBreakBefore w:val="0"/>
        <w:spacing w:before="360" w:after="200"/>
      </w:pPr>
      <w:r>
        <w:rPr>
          <w:rFonts w:ascii="Calibri" w:hAnsi="Calibri" w:eastAsia="Microsoft YaHei"/>
          <w:b/>
          <w:i w:val="0"/>
          <w:color w:val="2E74B5"/>
          <w:sz w:val="32"/>
        </w:rPr>
        <w:t>七、证据不足与结论上限</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2550"/>
        <w:gridCol w:w="3840"/>
        <w:gridCol w:w="2970"/>
      </w:tblGrid>
      <w:tr>
        <w:trPr>
          <w:tblHeader w:val="true"/>
          <w:cantSplit/>
        </w:trPr>
        <w:tc>
          <w:tcPr>
            <w:tcW w:type="dxa" w:w="25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本研究不回答</w:t>
            </w:r>
          </w:p>
        </w:tc>
        <w:tc>
          <w:tcPr>
            <w:tcW w:type="dxa" w:w="384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证据缺口</w:t>
            </w:r>
          </w:p>
        </w:tc>
        <w:tc>
          <w:tcPr>
            <w:tcW w:type="dxa" w:w="297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允许写法</w:t>
            </w:r>
          </w:p>
        </w:tc>
      </w:tr>
      <w:tr>
        <w:trPr>
          <w:cantSplit/>
        </w:trPr>
        <w:tc>
          <w:tcPr>
            <w:tcW w:type="dxa" w:w="25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行业渗透率/采用率</w:t>
            </w:r>
          </w:p>
        </w:tc>
        <w:tc>
          <w:tcPr>
            <w:tcW w:type="dxa" w:w="38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非概率样本且存在定向与分支筛选</w:t>
            </w:r>
          </w:p>
        </w:tc>
        <w:tc>
          <w:tcPr>
            <w:tcW w:type="dxa" w:w="29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只写本次样本中的分布</w:t>
            </w:r>
          </w:p>
        </w:tc>
      </w:tr>
      <w:tr>
        <w:trPr>
          <w:cantSplit/>
        </w:trPr>
        <w:tc>
          <w:tcPr>
            <w:tcW w:type="dxa" w:w="25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客观生产率或节省工时</w:t>
            </w:r>
          </w:p>
        </w:tc>
        <w:tc>
          <w:tcPr>
            <w:tcW w:type="dxa" w:w="38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只有主观帮助评分与个案描述，无基线/日志</w:t>
            </w:r>
          </w:p>
        </w:tc>
        <w:tc>
          <w:tcPr>
            <w:tcW w:type="dxa" w:w="29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写“受访者感知提速”</w:t>
            </w:r>
          </w:p>
        </w:tc>
      </w:tr>
      <w:tr>
        <w:trPr>
          <w:cantSplit/>
        </w:trPr>
        <w:tc>
          <w:tcPr>
            <w:tcW w:type="dxa" w:w="25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AI 导致代码质量提高/下降</w:t>
            </w:r>
          </w:p>
        </w:tc>
        <w:tc>
          <w:tcPr>
            <w:tcW w:type="dxa" w:w="38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无代码审查或对照项目；CC3 是自评</w:t>
            </w:r>
          </w:p>
        </w:tc>
        <w:tc>
          <w:tcPr>
            <w:tcW w:type="dxa" w:w="29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写质量自评与速度自评的相对关系</w:t>
            </w:r>
          </w:p>
        </w:tc>
      </w:tr>
      <w:tr>
        <w:trPr>
          <w:cantSplit/>
        </w:trPr>
        <w:tc>
          <w:tcPr>
            <w:tcW w:type="dxa" w:w="25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从代码片段转向项目链路的历史趋势</w:t>
            </w:r>
          </w:p>
        </w:tc>
        <w:tc>
          <w:tcPr>
            <w:tcW w:type="dxa" w:w="38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没有历史对比数据</w:t>
            </w:r>
          </w:p>
        </w:tc>
        <w:tc>
          <w:tcPr>
            <w:tcW w:type="dxa" w:w="29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只写当前样本出现的项目接入</w:t>
            </w:r>
          </w:p>
        </w:tc>
      </w:tr>
      <w:tr>
        <w:trPr>
          <w:cantSplit/>
        </w:trPr>
        <w:tc>
          <w:tcPr>
            <w:tcW w:type="dxa" w:w="25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AI 标签的独立因果效应</w:t>
            </w:r>
          </w:p>
        </w:tc>
        <w:tc>
          <w:tcPr>
            <w:tcW w:type="dxa" w:w="38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无随机实验，且多数体验前已知</w:t>
            </w:r>
          </w:p>
        </w:tc>
        <w:tc>
          <w:tcPr>
            <w:tcW w:type="dxa" w:w="29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写知情后的自报评价变化</w:t>
            </w:r>
          </w:p>
        </w:tc>
      </w:tr>
      <w:tr>
        <w:trPr>
          <w:cantSplit/>
        </w:trPr>
        <w:tc>
          <w:tcPr>
            <w:tcW w:type="dxa" w:w="25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玩家识别 AI 的准确率</w:t>
            </w:r>
          </w:p>
        </w:tc>
        <w:tc>
          <w:tcPr>
            <w:tcW w:type="dxa" w:w="38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没有盲测刺激与客观答案</w:t>
            </w:r>
          </w:p>
        </w:tc>
        <w:tc>
          <w:tcPr>
            <w:tcW w:type="dxa" w:w="29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只写主观判断依据</w:t>
            </w:r>
          </w:p>
        </w:tc>
      </w:tr>
      <w:tr>
        <w:trPr>
          <w:cantSplit/>
        </w:trPr>
        <w:tc>
          <w:tcPr>
            <w:tcW w:type="dxa" w:w="25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所有玩家/所有大学生消费者</w:t>
            </w:r>
          </w:p>
        </w:tc>
        <w:tc>
          <w:tcPr>
            <w:tcW w:type="dxa" w:w="38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消费结论来自人工复核后的 6 人</w:t>
            </w:r>
          </w:p>
        </w:tc>
        <w:tc>
          <w:tcPr>
            <w:tcW w:type="dxa" w:w="29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限定为本次实际游玩一致性子组</w:t>
            </w:r>
          </w:p>
        </w:tc>
      </w:tr>
      <w:tr>
        <w:trPr>
          <w:cantSplit/>
        </w:trPr>
        <w:tc>
          <w:tcPr>
            <w:tcW w:type="dxa" w:w="25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TapTap 制造创作者总体体验</w:t>
            </w:r>
          </w:p>
        </w:tc>
        <w:tc>
          <w:tcPr>
            <w:tcW w:type="dxa" w:w="38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平台 N=6 混合多平台且无创作者访谈</w:t>
            </w:r>
          </w:p>
        </w:tc>
        <w:tc>
          <w:tcPr>
            <w:tcW w:type="dxa" w:w="29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写一站式平台方向性观察；TapTap 仅作案例锚点</w:t>
            </w:r>
          </w:p>
        </w:tc>
      </w:tr>
      <w:tr>
        <w:trPr>
          <w:cantSplit/>
        </w:trPr>
        <w:tc>
          <w:tcPr>
            <w:tcW w:type="dxa" w:w="25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平台优劣排名</w:t>
            </w:r>
          </w:p>
        </w:tc>
        <w:tc>
          <w:tcPr>
            <w:tcW w:type="dxa" w:w="38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样本小且产品、任务与来源不对称</w:t>
            </w:r>
          </w:p>
        </w:tc>
        <w:tc>
          <w:tcPr>
            <w:tcW w:type="dxa" w:w="29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只比较机制和卡点</w:t>
            </w:r>
          </w:p>
        </w:tc>
      </w:tr>
      <w:tr>
        <w:trPr>
          <w:cantSplit/>
        </w:trPr>
        <w:tc>
          <w:tcPr>
            <w:tcW w:type="dxa" w:w="25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长期留存、流失、迁移</w:t>
            </w:r>
          </w:p>
        </w:tc>
        <w:tc>
          <w:tcPr>
            <w:tcW w:type="dxa" w:w="38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横截面材料，无追踪数据</w:t>
            </w:r>
          </w:p>
        </w:tc>
        <w:tc>
          <w:tcPr>
            <w:tcW w:type="dxa" w:w="29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列为后续验证</w:t>
            </w:r>
          </w:p>
        </w:tc>
      </w:tr>
      <w:tr>
        <w:trPr>
          <w:cantSplit/>
        </w:trPr>
        <w:tc>
          <w:tcPr>
            <w:tcW w:type="dxa" w:w="25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真实付费、订阅与价格弹性</w:t>
            </w:r>
          </w:p>
        </w:tc>
        <w:tc>
          <w:tcPr>
            <w:tcW w:type="dxa" w:w="38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多为假设意愿或个案，缺交易记录</w:t>
            </w:r>
          </w:p>
        </w:tc>
        <w:tc>
          <w:tcPr>
            <w:tcW w:type="dxa" w:w="29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不形成商业模式结论</w:t>
            </w:r>
          </w:p>
        </w:tc>
      </w:tr>
      <w:tr>
        <w:trPr>
          <w:cantSplit/>
        </w:trPr>
        <w:tc>
          <w:tcPr>
            <w:tcW w:type="dxa" w:w="25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发布—分发—反馈—再创作闭环</w:t>
            </w:r>
          </w:p>
        </w:tc>
        <w:tc>
          <w:tcPr>
            <w:tcW w:type="dxa" w:w="38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没有同一作品的完整跨端链路</w:t>
            </w:r>
          </w:p>
        </w:tc>
        <w:tc>
          <w:tcPr>
            <w:tcW w:type="dxa" w:w="29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写闭环前置条件尚未验证</w:t>
            </w:r>
          </w:p>
        </w:tc>
      </w:tr>
      <w:tr>
        <w:trPr>
          <w:cantSplit/>
        </w:trPr>
        <w:tc>
          <w:tcPr>
            <w:tcW w:type="dxa" w:w="25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版权合规或法律风险</w:t>
            </w:r>
          </w:p>
        </w:tc>
        <w:tc>
          <w:tcPr>
            <w:tcW w:type="dxa" w:w="38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只有态度/担忧，无法律材料与作品审计</w:t>
            </w:r>
          </w:p>
        </w:tc>
        <w:tc>
          <w:tcPr>
            <w:tcW w:type="dxa" w:w="29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写信任条件，不作合规判断</w:t>
            </w:r>
          </w:p>
        </w:tc>
      </w:tr>
      <w:tr>
        <w:trPr>
          <w:cantSplit/>
        </w:trPr>
        <w:tc>
          <w:tcPr>
            <w:tcW w:type="dxa" w:w="25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平台内部技术限制与商业优先级</w:t>
            </w:r>
          </w:p>
        </w:tc>
        <w:tc>
          <w:tcPr>
            <w:tcW w:type="dxa" w:w="38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无企业内部资料、产品团队访谈或运营数据</w:t>
            </w:r>
          </w:p>
        </w:tc>
        <w:tc>
          <w:tcPr>
            <w:tcW w:type="dxa" w:w="29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只提用户侧能力缺口</w:t>
            </w:r>
          </w:p>
        </w:tc>
      </w:tr>
      <w:tr>
        <w:trPr>
          <w:cantSplit/>
        </w:trPr>
        <w:tc>
          <w:tcPr>
            <w:tcW w:type="dxa" w:w="25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长期维护结果</w:t>
            </w:r>
          </w:p>
        </w:tc>
        <w:tc>
          <w:tcPr>
            <w:tcW w:type="dxa" w:w="384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只有维护自评和个案担忧，无长期项目追踪</w:t>
            </w:r>
          </w:p>
        </w:tc>
        <w:tc>
          <w:tcPr>
            <w:tcW w:type="dxa" w:w="297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写可维护性诉求与风险线索</w:t>
            </w:r>
          </w:p>
        </w:tc>
      </w:tr>
      <w:tr>
        <w:trPr>
          <w:cantSplit/>
        </w:trPr>
        <w:tc>
          <w:tcPr>
            <w:tcW w:type="dxa" w:w="25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统计显著性与稳定分群</w:t>
            </w:r>
          </w:p>
        </w:tc>
        <w:tc>
          <w:tcPr>
            <w:tcW w:type="dxa" w:w="384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核心子组 N=15/N=6，且非随机样本</w:t>
            </w:r>
          </w:p>
        </w:tc>
        <w:tc>
          <w:tcPr>
            <w:tcW w:type="dxa" w:w="297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用描述性计数、差异个案与反例</w:t>
            </w:r>
          </w:p>
        </w:tc>
      </w:tr>
    </w:tbl>
    <w:p>
      <w:pPr>
        <w:spacing w:after="40"/>
      </w:pPr>
    </w:p>
    <w:p>
      <w:pPr>
        <w:pStyle w:val="Heading1"/>
        <w:keepNext/>
        <w:keepLines/>
        <w:pageBreakBefore w:val="0"/>
        <w:spacing w:before="360" w:after="200"/>
      </w:pPr>
      <w:r>
        <w:rPr>
          <w:rFonts w:ascii="Calibri" w:hAnsi="Calibri" w:eastAsia="Microsoft YaHei"/>
          <w:b/>
          <w:i w:val="0"/>
          <w:color w:val="2E74B5"/>
          <w:sz w:val="32"/>
        </w:rPr>
        <w:t>八、按章节调用材料</w:t>
      </w:r>
    </w:p>
    <w:tbl>
      <w:tblPr>
        <w:tblW w:type="dxa" w:w="9360"/>
        <w:tblLayout w:type="fixed"/>
        <w:tblLook w:firstColumn="1" w:firstRow="1" w:lastColumn="0" w:lastRow="0" w:noHBand="0" w:noVBand="1" w:val="04A0"/>
        <w:jc w:val="left"/>
        <w:tblInd w:w="120" w:type="dxa"/>
        <w:tblBorders>
          <w:top w:val="single" w:sz="5" w:space="0" w:color="B9C5D1"/>
          <w:left w:val="single" w:sz="5" w:space="0" w:color="B9C5D1"/>
          <w:bottom w:val="single" w:sz="5" w:space="0" w:color="B9C5D1"/>
          <w:right w:val="single" w:sz="5" w:space="0" w:color="B9C5D1"/>
          <w:insideH w:val="single" w:sz="5" w:space="0" w:color="B9C5D1"/>
          <w:insideV w:val="single" w:sz="5" w:space="0" w:color="B9C5D1"/>
        </w:tblBorders>
      </w:tblPr>
      <w:tblGrid>
        <w:gridCol w:w="1850"/>
        <w:gridCol w:w="3630"/>
        <w:gridCol w:w="3880"/>
      </w:tblGrid>
      <w:tr>
        <w:trPr>
          <w:tblHeader w:val="true"/>
          <w:cantSplit/>
        </w:trPr>
        <w:tc>
          <w:tcPr>
            <w:tcW w:type="dxa" w:w="185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章节</w:t>
            </w:r>
          </w:p>
        </w:tc>
        <w:tc>
          <w:tcPr>
            <w:tcW w:type="dxa" w:w="363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本文件提供</w:t>
            </w:r>
          </w:p>
        </w:tc>
        <w:tc>
          <w:tcPr>
            <w:tcW w:type="dxa" w:w="3880"/>
            <w:tcMar>
              <w:top w:w="80" w:type="dxa"/>
              <w:start w:w="120" w:type="dxa"/>
              <w:bottom w:w="80" w:type="dxa"/>
              <w:end w:w="120" w:type="dxa"/>
            </w:tcMar>
            <w:vAlign w:val="center"/>
            <w:shd w:fill="E8EEF5"/>
          </w:tcPr>
          <w:p>
            <w:pPr>
              <w:spacing w:before="20" w:after="20" w:line="264" w:lineRule="auto"/>
              <w:jc w:val="center"/>
            </w:pPr>
            <w:r>
              <w:rPr>
                <w:rFonts w:ascii="Calibri" w:hAnsi="Calibri" w:eastAsia="Microsoft YaHei"/>
                <w:b/>
                <w:i w:val="0"/>
                <w:color w:val="1F4D78"/>
                <w:sz w:val="17"/>
              </w:rPr>
              <w:t>仍须补充</w:t>
            </w:r>
          </w:p>
        </w:tc>
      </w:tr>
      <w:tr>
        <w:trPr>
          <w:cantSplit/>
        </w:trPr>
        <w:tc>
          <w:tcPr>
            <w:tcW w:type="dxa" w:w="18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第一章 研究背景</w:t>
            </w:r>
          </w:p>
        </w:tc>
        <w:tc>
          <w:tcPr>
            <w:tcW w:type="dxa" w:w="363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研究对象层级、桌研角色与不可泛化范围</w:t>
            </w:r>
          </w:p>
        </w:tc>
        <w:tc>
          <w:tcPr>
            <w:tcW w:type="dxa" w:w="388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桌面研究中经核验的外部背景与官方资料</w:t>
            </w:r>
          </w:p>
        </w:tc>
      </w:tr>
      <w:tr>
        <w:trPr>
          <w:cantSplit/>
        </w:trPr>
        <w:tc>
          <w:tcPr>
            <w:tcW w:type="dxa" w:w="1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第二章 目标与核心问题</w:t>
            </w:r>
          </w:p>
        </w:tc>
        <w:tc>
          <w:tcPr>
            <w:tcW w:type="dxa" w:w="363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三端问题—证据—结论上限表</w:t>
            </w:r>
          </w:p>
        </w:tc>
        <w:tc>
          <w:tcPr>
            <w:tcW w:type="dxa" w:w="388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无需新数据</w:t>
            </w:r>
          </w:p>
        </w:tc>
      </w:tr>
      <w:tr>
        <w:trPr>
          <w:cantSplit/>
        </w:trPr>
        <w:tc>
          <w:tcPr>
            <w:tcW w:type="dxa" w:w="18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第三章 方法与样本</w:t>
            </w:r>
          </w:p>
        </w:tc>
        <w:tc>
          <w:tcPr>
            <w:tcW w:type="dxa" w:w="363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117→115→69、固定分母、缺失规则、访谈构成</w:t>
            </w:r>
          </w:p>
        </w:tc>
        <w:tc>
          <w:tcPr>
            <w:tcW w:type="dxa" w:w="388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必要的问卷/访谈方法概述</w:t>
            </w:r>
          </w:p>
        </w:tc>
      </w:tr>
      <w:tr>
        <w:trPr>
          <w:cantSplit/>
        </w:trPr>
        <w:tc>
          <w:tcPr>
            <w:tcW w:type="dxa" w:w="1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第四章 生产端发现</w:t>
            </w:r>
          </w:p>
        </w:tc>
        <w:tc>
          <w:tcPr>
            <w:tcW w:type="dxa" w:w="363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Codex N=15、生产变量索引、A/B/C 与 E 的边界</w:t>
            </w:r>
          </w:p>
        </w:tc>
        <w:tc>
          <w:tcPr>
            <w:tcW w:type="dxa" w:w="388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Codex 子组原始记录、逐字稿全文、重新统计</w:t>
            </w:r>
          </w:p>
        </w:tc>
      </w:tr>
      <w:tr>
        <w:trPr>
          <w:cantSplit/>
        </w:trPr>
        <w:tc>
          <w:tcPr>
            <w:tcW w:type="dxa" w:w="18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第五章 平台端发现</w:t>
            </w:r>
          </w:p>
        </w:tc>
        <w:tc>
          <w:tcPr>
            <w:tcW w:type="dxa" w:w="363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平台 N=6、TM 变量索引、无创作者访谈的缺口</w:t>
            </w:r>
          </w:p>
        </w:tc>
        <w:tc>
          <w:tcPr>
            <w:tcW w:type="dxa" w:w="388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6 份记录逐条复核、开放题原文、桌研机制线索</w:t>
            </w:r>
          </w:p>
        </w:tc>
      </w:tr>
      <w:tr>
        <w:trPr>
          <w:cantSplit/>
        </w:trPr>
        <w:tc>
          <w:tcPr>
            <w:tcW w:type="dxa" w:w="1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第六章 消费端发现</w:t>
            </w:r>
          </w:p>
        </w:tc>
        <w:tc>
          <w:tcPr>
            <w:tcW w:type="dxa" w:w="363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实际游玩 N=6、C 变量索引、玩家 D 的角色</w:t>
            </w:r>
          </w:p>
        </w:tc>
        <w:tc>
          <w:tcPr>
            <w:tcW w:type="dxa" w:w="388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6 份记录逐条复核、玩家 D 全文、作品线索</w:t>
            </w:r>
          </w:p>
        </w:tc>
      </w:tr>
      <w:tr>
        <w:trPr>
          <w:cantSplit/>
        </w:trPr>
        <w:tc>
          <w:tcPr>
            <w:tcW w:type="dxa" w:w="18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第七章 跨端观察</w:t>
            </w:r>
          </w:p>
        </w:tc>
        <w:tc>
          <w:tcPr>
            <w:tcW w:type="dxa" w:w="363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跨端结论上限</w:t>
            </w:r>
          </w:p>
        </w:tc>
        <w:tc>
          <w:tcPr>
            <w:tcW w:type="dxa" w:w="388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只汇总第四至六章已经成立的判断</w:t>
            </w:r>
          </w:p>
        </w:tc>
      </w:tr>
      <w:tr>
        <w:trPr>
          <w:cantSplit/>
        </w:trPr>
        <w:tc>
          <w:tcPr>
            <w:tcW w:type="dxa" w:w="1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第八章 假设验证</w:t>
            </w:r>
          </w:p>
        </w:tc>
        <w:tc>
          <w:tcPr>
            <w:tcW w:type="dxa" w:w="363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8 条候选命题及未进入结论项</w:t>
            </w:r>
          </w:p>
        </w:tc>
        <w:tc>
          <w:tcPr>
            <w:tcW w:type="dxa" w:w="388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桌研原命题与第四至六章最终结果对照</w:t>
            </w:r>
          </w:p>
        </w:tc>
      </w:tr>
      <w:tr>
        <w:trPr>
          <w:cantSplit/>
        </w:trPr>
        <w:tc>
          <w:tcPr>
            <w:tcW w:type="dxa" w:w="1850"/>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第九章 综合结论</w:t>
            </w:r>
          </w:p>
        </w:tc>
        <w:tc>
          <w:tcPr>
            <w:tcW w:type="dxa" w:w="363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三端结论上限</w:t>
            </w:r>
          </w:p>
        </w:tc>
        <w:tc>
          <w:tcPr>
            <w:tcW w:type="dxa" w:w="3880"/>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只收束已完成章节，不引入新数据</w:t>
            </w:r>
          </w:p>
        </w:tc>
      </w:tr>
      <w:tr>
        <w:trPr>
          <w:cantSplit/>
        </w:trPr>
        <w:tc>
          <w:tcPr>
            <w:tcW w:type="dxa" w:w="1850"/>
            <w:shd w:fill="FAFBFC"/>
            <w:tcMar>
              <w:top w:w="80" w:type="dxa"/>
              <w:start w:w="120" w:type="dxa"/>
              <w:bottom w:w="80" w:type="dxa"/>
              <w:end w:w="120" w:type="dxa"/>
            </w:tcMar>
            <w:vAlign w:val="center"/>
          </w:tcPr>
          <w:p>
            <w:pPr>
              <w:spacing w:before="20" w:after="20" w:line="269" w:lineRule="auto"/>
            </w:pPr>
            <w:r>
              <w:rPr>
                <w:rFonts w:ascii="Calibri" w:hAnsi="Calibri" w:eastAsia="Microsoft YaHei"/>
                <w:b/>
                <w:i w:val="0"/>
                <w:color w:val="1F2937"/>
                <w:sz w:val="17"/>
              </w:rPr>
              <w:t>第十章 研究限制</w:t>
            </w:r>
          </w:p>
        </w:tc>
        <w:tc>
          <w:tcPr>
            <w:tcW w:type="dxa" w:w="363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证据不足清单</w:t>
            </w:r>
          </w:p>
        </w:tc>
        <w:tc>
          <w:tcPr>
            <w:tcW w:type="dxa" w:w="3880"/>
            <w:shd w:fill="FAFBFC"/>
            <w:tcMar>
              <w:top w:w="80" w:type="dxa"/>
              <w:start w:w="120" w:type="dxa"/>
              <w:bottom w:w="80" w:type="dxa"/>
              <w:end w:w="120" w:type="dxa"/>
            </w:tcMar>
            <w:vAlign w:val="center"/>
          </w:tcPr>
          <w:p>
            <w:pPr>
              <w:spacing w:before="20" w:after="20" w:line="269" w:lineRule="auto"/>
            </w:pPr>
            <w:r>
              <w:rPr>
                <w:rFonts w:ascii="Calibri" w:hAnsi="Calibri" w:eastAsia="Microsoft YaHei"/>
                <w:b w:val="0"/>
                <w:i w:val="0"/>
                <w:color w:val="1F2937"/>
                <w:sz w:val="17"/>
              </w:rPr>
              <w:t>压缩为 5—6 条具体限制</w:t>
            </w:r>
          </w:p>
        </w:tc>
      </w:tr>
    </w:tbl>
    <w:p>
      <w:pPr>
        <w:spacing w:after="40"/>
      </w:pPr>
    </w:p>
    <w:p>
      <w:pPr>
        <w:pStyle w:val="Heading1"/>
        <w:keepNext/>
        <w:keepLines/>
        <w:pageBreakBefore w:val="0"/>
        <w:spacing w:before="360" w:after="200"/>
      </w:pPr>
      <w:r>
        <w:rPr>
          <w:rFonts w:ascii="Calibri" w:hAnsi="Calibri" w:eastAsia="Microsoft YaHei"/>
          <w:b/>
          <w:i w:val="0"/>
          <w:color w:val="2E74B5"/>
          <w:sz w:val="32"/>
        </w:rPr>
        <w:t>九、桌面研究作为第四份基础资料的定位</w:t>
      </w:r>
    </w:p>
    <w:tbl>
      <w:tblPr>
        <w:tblW w:type="dxa" w:w="9360"/>
        <w:jc w:val="left"/>
        <w:tblLayout w:type="fixed"/>
        <w:tblLook w:firstColumn="1" w:firstRow="1" w:lastColumn="0" w:lastRow="0" w:noHBand="0" w:noVBand="1" w:val="04A0"/>
        <w:tblInd w:w="120" w:type="dxa"/>
        <w:tblBorders>
          <w:top w:val="single" w:sz="6" w:space="0" w:color="C8D5E2"/>
          <w:left w:val="single" w:sz="6" w:space="0" w:color="C8D5E2"/>
          <w:bottom w:val="single" w:sz="6" w:space="0" w:color="C8D5E2"/>
          <w:right w:val="single" w:sz="6" w:space="0" w:color="C8D5E2"/>
          <w:insideH w:val="single" w:sz="6" w:space="0" w:color="C8D5E2"/>
          <w:insideV w:val="single" w:sz="6" w:space="0" w:color="C8D5E2"/>
        </w:tblBorders>
      </w:tblPr>
      <w:tblGrid>
        <w:gridCol w:w="9360"/>
      </w:tblGrid>
      <w:tr>
        <w:tc>
          <w:tcPr>
            <w:tcW w:type="dxa" w:w="9360"/>
            <w:tcMar>
              <w:top w:w="80" w:type="dxa"/>
              <w:start w:w="120" w:type="dxa"/>
              <w:bottom w:w="80" w:type="dxa"/>
              <w:end w:w="120" w:type="dxa"/>
            </w:tcMar>
            <w:vAlign w:val="center"/>
            <w:shd w:fill="F4F7FA"/>
          </w:tcPr>
          <w:p>
            <w:pPr>
              <w:spacing w:before="40" w:after="40" w:line="288" w:lineRule="auto"/>
            </w:pPr>
            <w:r>
              <w:rPr>
                <w:rFonts w:ascii="Calibri" w:hAnsi="Calibri" w:eastAsia="Microsoft YaHei"/>
                <w:b/>
                <w:i w:val="0"/>
                <w:color w:val="1F4D78"/>
                <w:sz w:val="22"/>
              </w:rPr>
              <w:t>建议：</w:t>
            </w:r>
            <w:r>
              <w:rPr>
                <w:rFonts w:ascii="Calibri" w:hAnsi="Calibri" w:eastAsia="Microsoft YaHei"/>
                <w:b w:val="0"/>
                <w:i w:val="0"/>
                <w:color w:val="1F2937"/>
                <w:sz w:val="22"/>
              </w:rPr>
              <w:t>将《AI 工具产品化桌面研究报告》纳入第四份基础资料是必要的。它贯穿第一章、第四至六章和第八章，负责提供外部背景、产品机制和候选假设；但它不应与本证据总控合并，也不能替代问卷与访谈对大学生真实行为的证明。</w:t>
            </w:r>
          </w:p>
        </w:tc>
      </w:tr>
    </w:tbl>
    <w:p>
      <w:pPr>
        <w:spacing w:after="40"/>
      </w:pPr>
    </w:p>
    <w:p>
      <w:pPr>
        <w:pStyle w:val="Heading2"/>
        <w:keepNext/>
        <w:keepLines/>
        <w:pageBreakBefore w:val="0"/>
        <w:spacing w:before="280" w:after="140"/>
      </w:pPr>
      <w:r>
        <w:rPr>
          <w:rFonts w:ascii="Calibri" w:hAnsi="Calibri" w:eastAsia="Microsoft YaHei"/>
          <w:b/>
          <w:i w:val="0"/>
          <w:color w:val="2E74B5"/>
          <w:sz w:val="26"/>
        </w:rPr>
        <w:t>9.1 使用桌面研究时的固定规则</w:t>
      </w:r>
    </w:p>
    <w:p>
      <w:pPr>
        <w:pStyle w:val="ListNumber"/>
        <w:spacing w:after="80" w:line="300" w:lineRule="auto"/>
        <w:ind w:left="540" w:hanging="271"/>
      </w:pPr>
      <w:r>
        <w:rPr>
          <w:rFonts w:ascii="Calibri" w:hAnsi="Calibri" w:eastAsia="Microsoft YaHei"/>
          <w:b w:val="0"/>
          <w:i w:val="0"/>
          <w:color w:val="1F2937"/>
          <w:sz w:val="22"/>
        </w:rPr>
        <w:t>桌研负责提出“值得验证什么”，实证材料负责回答“本次样本中出现了什么”。</w:t>
      </w:r>
    </w:p>
    <w:p>
      <w:pPr>
        <w:pStyle w:val="ListNumber"/>
        <w:spacing w:after="80" w:line="300" w:lineRule="auto"/>
        <w:ind w:left="540" w:hanging="271"/>
      </w:pPr>
      <w:r>
        <w:rPr>
          <w:rFonts w:ascii="Calibri" w:hAnsi="Calibri" w:eastAsia="Microsoft YaHei"/>
          <w:b w:val="0"/>
          <w:i w:val="0"/>
          <w:color w:val="1F2937"/>
          <w:sz w:val="22"/>
        </w:rPr>
        <w:t>桌研中的产品描述、时间敏感信息、外部数据和精确数字进入正文前必须回到原始链接复核。</w:t>
      </w:r>
    </w:p>
    <w:p>
      <w:pPr>
        <w:pStyle w:val="ListNumber"/>
        <w:spacing w:after="80" w:line="300" w:lineRule="auto"/>
        <w:ind w:left="540" w:hanging="271"/>
      </w:pPr>
      <w:r>
        <w:rPr>
          <w:rFonts w:ascii="Calibri" w:hAnsi="Calibri" w:eastAsia="Microsoft YaHei"/>
          <w:b w:val="0"/>
          <w:i w:val="0"/>
          <w:color w:val="1F2937"/>
          <w:sz w:val="22"/>
        </w:rPr>
        <w:t>广泛产品扫描只作背景候选池；Codex 与 TapTap 制造是案例锚点，其他工具和平台不等量进入结论。</w:t>
      </w:r>
    </w:p>
    <w:p>
      <w:pPr>
        <w:pStyle w:val="ListNumber"/>
        <w:spacing w:after="80" w:line="300" w:lineRule="auto"/>
        <w:ind w:left="540" w:hanging="271"/>
      </w:pPr>
      <w:r>
        <w:rPr>
          <w:rFonts w:ascii="Calibri" w:hAnsi="Calibri" w:eastAsia="Microsoft YaHei"/>
          <w:b w:val="0"/>
          <w:i w:val="0"/>
          <w:color w:val="1F2937"/>
          <w:sz w:val="22"/>
        </w:rPr>
        <w:t>桌研假设不需要全部验证；第八章只选择与三个核心问题直接相关的 6—8 条。</w:t>
      </w:r>
    </w:p>
    <w:p>
      <w:pPr>
        <w:pStyle w:val="ListNumber"/>
        <w:spacing w:after="80" w:line="300" w:lineRule="auto"/>
        <w:ind w:left="540" w:hanging="271"/>
      </w:pPr>
      <w:r>
        <w:rPr>
          <w:rFonts w:ascii="Calibri" w:hAnsi="Calibri" w:eastAsia="Microsoft YaHei"/>
          <w:b w:val="0"/>
          <w:i w:val="0"/>
          <w:color w:val="1F2937"/>
          <w:sz w:val="22"/>
        </w:rPr>
        <w:t>实证结果与桌研命题不一致时，以原始实证证据和当前研究边界为准，并记录为修正、未验证或无法检验。</w:t>
      </w:r>
    </w:p>
    <w:p>
      <w:pPr>
        <w:pStyle w:val="ListNumber"/>
        <w:spacing w:after="80" w:line="300" w:lineRule="auto"/>
        <w:ind w:left="540" w:hanging="271"/>
      </w:pPr>
      <w:r>
        <w:rPr>
          <w:rFonts w:ascii="Calibri" w:hAnsi="Calibri" w:eastAsia="Microsoft YaHei"/>
          <w:b w:val="0"/>
          <w:i w:val="0"/>
          <w:color w:val="1F2937"/>
          <w:sz w:val="22"/>
        </w:rPr>
        <w:t>桌研当前版本仍包含旧叙事、宽泛产品扫描和超出本次证据能力的留存/付费讨论；在正式冻结前应做一次裁剪和信源审计。</w:t>
      </w:r>
    </w:p>
    <w:p>
      <w:pPr>
        <w:pStyle w:val="Heading2"/>
        <w:keepNext/>
        <w:keepLines/>
        <w:pageBreakBefore w:val="0"/>
        <w:spacing w:before="280" w:after="140"/>
      </w:pPr>
      <w:r>
        <w:rPr>
          <w:rFonts w:ascii="Calibri" w:hAnsi="Calibri" w:eastAsia="Microsoft YaHei"/>
          <w:b/>
          <w:i w:val="0"/>
          <w:color w:val="2E74B5"/>
          <w:sz w:val="26"/>
        </w:rPr>
        <w:t>9.2 四份资料的最终证据优先级</w:t>
      </w:r>
    </w:p>
    <w:tbl>
      <w:tblPr>
        <w:tblW w:type="dxa" w:w="9360"/>
        <w:jc w:val="left"/>
        <w:tblLayout w:type="fixed"/>
        <w:tblLook w:firstColumn="1" w:firstRow="1" w:lastColumn="0" w:lastRow="0" w:noHBand="0" w:noVBand="1" w:val="04A0"/>
        <w:tblInd w:w="120" w:type="dxa"/>
        <w:tblBorders>
          <w:top w:val="single" w:sz="6" w:space="0" w:color="C8D5E2"/>
          <w:left w:val="single" w:sz="6" w:space="0" w:color="C8D5E2"/>
          <w:bottom w:val="single" w:sz="6" w:space="0" w:color="C8D5E2"/>
          <w:right w:val="single" w:sz="6" w:space="0" w:color="C8D5E2"/>
          <w:insideH w:val="single" w:sz="6" w:space="0" w:color="C8D5E2"/>
          <w:insideV w:val="single" w:sz="6" w:space="0" w:color="C8D5E2"/>
        </w:tblBorders>
      </w:tblPr>
      <w:tblGrid>
        <w:gridCol w:w="9360"/>
      </w:tblGrid>
      <w:tr>
        <w:tc>
          <w:tcPr>
            <w:tcW w:type="dxa" w:w="9360"/>
            <w:tcMar>
              <w:top w:w="80" w:type="dxa"/>
              <w:start w:w="120" w:type="dxa"/>
              <w:bottom w:w="80" w:type="dxa"/>
              <w:end w:w="120" w:type="dxa"/>
            </w:tcMar>
            <w:vAlign w:val="center"/>
            <w:shd w:fill="F2F4F7"/>
          </w:tcPr>
          <w:p>
            <w:pPr>
              <w:spacing w:before="40" w:after="40" w:line="288" w:lineRule="auto"/>
            </w:pPr>
            <w:r>
              <w:rPr>
                <w:rFonts w:ascii="Calibri" w:hAnsi="Calibri" w:eastAsia="Microsoft YaHei"/>
                <w:b/>
                <w:i w:val="0"/>
                <w:color w:val="1F4D78"/>
                <w:sz w:val="22"/>
              </w:rPr>
              <w:t>优先级：</w:t>
            </w:r>
            <w:r>
              <w:rPr>
                <w:rFonts w:ascii="Calibri" w:hAnsi="Calibri" w:eastAsia="Microsoft YaHei"/>
                <w:b w:val="0"/>
                <w:i w:val="0"/>
                <w:color w:val="1F2937"/>
                <w:sz w:val="22"/>
              </w:rPr>
              <w:t>原始问卷记录与逐字稿 → 已冻结的清洗/分母口径 → 本证据总控 → 经信源复核的桌面研究 → 旧汇总报告仅作检索线索。</w:t>
            </w:r>
          </w:p>
        </w:tc>
      </w:tr>
    </w:tbl>
    <w:p>
      <w:pPr>
        <w:spacing w:after="40"/>
      </w:pPr>
    </w:p>
    <w:p>
      <w:pPr>
        <w:pStyle w:val="Heading1"/>
        <w:keepNext/>
        <w:keepLines/>
        <w:pageBreakBefore w:val="0"/>
        <w:spacing w:before="360" w:after="200"/>
      </w:pPr>
      <w:r>
        <w:rPr>
          <w:rFonts w:ascii="Calibri" w:hAnsi="Calibri" w:eastAsia="Microsoft YaHei"/>
          <w:b/>
          <w:i w:val="0"/>
          <w:color w:val="2E74B5"/>
          <w:sz w:val="32"/>
        </w:rPr>
        <w:t>十、使用检查清单</w:t>
      </w:r>
    </w:p>
    <w:p>
      <w:pPr>
        <w:pStyle w:val="ListBullet"/>
        <w:spacing w:after="80" w:line="300" w:lineRule="auto"/>
        <w:ind w:left="540" w:hanging="271"/>
      </w:pPr>
      <w:r>
        <w:rPr>
          <w:rFonts w:ascii="Calibri" w:hAnsi="Calibri" w:eastAsia="Microsoft YaHei"/>
          <w:b w:val="0"/>
          <w:i w:val="0"/>
          <w:color w:val="1F2937"/>
          <w:sz w:val="22"/>
        </w:rPr>
        <w:t>□ 本章使用的分母是否来自固定分母注册表？</w:t>
      </w:r>
    </w:p>
    <w:p>
      <w:pPr>
        <w:pStyle w:val="ListBullet"/>
        <w:spacing w:after="80" w:line="300" w:lineRule="auto"/>
        <w:ind w:left="540" w:hanging="271"/>
      </w:pPr>
      <w:r>
        <w:rPr>
          <w:rFonts w:ascii="Calibri" w:hAnsi="Calibri" w:eastAsia="Microsoft YaHei"/>
          <w:b w:val="0"/>
          <w:i w:val="0"/>
          <w:color w:val="1F2937"/>
          <w:sz w:val="22"/>
        </w:rPr>
        <w:t>□ N&lt;10 是否只报人数和分布？</w:t>
      </w:r>
    </w:p>
    <w:p>
      <w:pPr>
        <w:pStyle w:val="ListBullet"/>
        <w:spacing w:after="80" w:line="300" w:lineRule="auto"/>
        <w:ind w:left="540" w:hanging="271"/>
      </w:pPr>
      <w:r>
        <w:rPr>
          <w:rFonts w:ascii="Calibri" w:hAnsi="Calibri" w:eastAsia="Microsoft YaHei"/>
          <w:b w:val="0"/>
          <w:i w:val="0"/>
          <w:color w:val="1F2937"/>
          <w:sz w:val="22"/>
        </w:rPr>
        <w:t>□ 定量结论是否回到对应记录重新计算，而非复制旧汇总？</w:t>
      </w:r>
    </w:p>
    <w:p>
      <w:pPr>
        <w:pStyle w:val="ListBullet"/>
        <w:spacing w:after="80" w:line="300" w:lineRule="auto"/>
        <w:ind w:left="540" w:hanging="271"/>
      </w:pPr>
      <w:r>
        <w:rPr>
          <w:rFonts w:ascii="Calibri" w:hAnsi="Calibri" w:eastAsia="Microsoft YaHei"/>
          <w:b w:val="0"/>
          <w:i w:val="0"/>
          <w:color w:val="1F2937"/>
          <w:sz w:val="22"/>
        </w:rPr>
        <w:t>□ 引文是否回到逐字稿全文核对上下文与定位？</w:t>
      </w:r>
    </w:p>
    <w:p>
      <w:pPr>
        <w:pStyle w:val="ListBullet"/>
        <w:spacing w:after="80" w:line="300" w:lineRule="auto"/>
        <w:ind w:left="540" w:hanging="271"/>
      </w:pPr>
      <w:r>
        <w:rPr>
          <w:rFonts w:ascii="Calibri" w:hAnsi="Calibri" w:eastAsia="Microsoft YaHei"/>
          <w:b w:val="0"/>
          <w:i w:val="0"/>
          <w:color w:val="1F2937"/>
          <w:sz w:val="22"/>
        </w:rPr>
        <w:t>□ 平台端是否避免写成 TapTap 制造专属用户结论？</w:t>
      </w:r>
    </w:p>
    <w:p>
      <w:pPr>
        <w:pStyle w:val="ListBullet"/>
        <w:spacing w:after="80" w:line="300" w:lineRule="auto"/>
        <w:ind w:left="540" w:hanging="271"/>
      </w:pPr>
      <w:r>
        <w:rPr>
          <w:rFonts w:ascii="Calibri" w:hAnsi="Calibri" w:eastAsia="Microsoft YaHei"/>
          <w:b w:val="0"/>
          <w:i w:val="0"/>
          <w:color w:val="1F2937"/>
          <w:sz w:val="22"/>
        </w:rPr>
        <w:t>□ 玩家 D 是否保持为独立定性个案，不并入消费端 N=6？</w:t>
      </w:r>
    </w:p>
    <w:p>
      <w:pPr>
        <w:pStyle w:val="ListBullet"/>
        <w:spacing w:after="80" w:line="300" w:lineRule="auto"/>
        <w:ind w:left="540" w:hanging="271"/>
      </w:pPr>
      <w:r>
        <w:rPr>
          <w:rFonts w:ascii="Calibri" w:hAnsi="Calibri" w:eastAsia="Microsoft YaHei"/>
          <w:b w:val="0"/>
          <w:i w:val="0"/>
          <w:color w:val="1F2937"/>
          <w:sz w:val="22"/>
        </w:rPr>
        <w:t>□ 跨端段落是否明确没有同一作品、同一用户和纵向追踪？</w:t>
      </w:r>
    </w:p>
    <w:p>
      <w:pPr>
        <w:pStyle w:val="ListBullet"/>
        <w:spacing w:after="80" w:line="300" w:lineRule="auto"/>
        <w:ind w:left="540" w:hanging="271"/>
      </w:pPr>
      <w:r>
        <w:rPr>
          <w:rFonts w:ascii="Calibri" w:hAnsi="Calibri" w:eastAsia="Microsoft YaHei"/>
          <w:b w:val="0"/>
          <w:i w:val="0"/>
          <w:color w:val="1F2937"/>
          <w:sz w:val="22"/>
        </w:rPr>
        <w:t>□ 桌研事实是否有可追溯且仍有效的原始来源？</w:t>
      </w:r>
    </w:p>
    <w:p>
      <w:pPr>
        <w:pStyle w:val="ListBullet"/>
        <w:spacing w:after="80" w:line="300" w:lineRule="auto"/>
        <w:ind w:left="540" w:hanging="271"/>
      </w:pPr>
      <w:r>
        <w:rPr>
          <w:rFonts w:ascii="Calibri" w:hAnsi="Calibri" w:eastAsia="Microsoft YaHei"/>
          <w:b w:val="0"/>
          <w:i w:val="0"/>
          <w:color w:val="1F2937"/>
          <w:sz w:val="22"/>
        </w:rPr>
        <w:t>□ 章节结论是否停在本文件规定的证据上限内？</w:t>
      </w:r>
    </w:p>
    <w:p>
      <w:pPr>
        <w:pStyle w:val="ListBullet"/>
        <w:spacing w:after="80" w:line="300" w:lineRule="auto"/>
        <w:ind w:left="540" w:hanging="271"/>
      </w:pPr>
      <w:r>
        <w:rPr>
          <w:rFonts w:ascii="Calibri" w:hAnsi="Calibri" w:eastAsia="Microsoft YaHei"/>
          <w:b w:val="0"/>
          <w:i w:val="0"/>
          <w:color w:val="1F2937"/>
          <w:sz w:val="22"/>
        </w:rPr>
        <w:t>□ 新发现是否登记进后续证据总控，而不是直接改写全篇口径？</w:t>
      </w:r>
    </w:p>
    <w:sectPr w:rsidR="00FC693F" w:rsidRPr="0006063C" w:rsidSect="00034616">
      <w:headerReference w:type="default" r:id="rId9"/>
      <w:footerReference w:type="default" r:id="rId10"/>
      <w:pgSz w:w="12240" w:h="15840"/>
      <w:pgMar w:top="1224" w:right="1440" w:bottom="1080"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216" w:val="right"/>
      </w:tabs>
      <w:spacing w:before="0" w:after="0"/>
    </w:pPr>
    <w:r>
      <w:rPr>
        <w:rFonts w:ascii="Calibri" w:hAnsi="Calibri" w:eastAsia="Microsoft YaHei"/>
        <w:b w:val="0"/>
        <w:i w:val="0"/>
        <w:color w:val="5B6573"/>
        <w:sz w:val="17"/>
      </w:rPr>
      <w:t>内部工作文件 · V1.0 · 2026-07-27</w:t>
    </w:r>
    <w:r>
      <w:rPr>
        <w:rFonts w:ascii="Calibri" w:hAnsi="Calibri" w:eastAsia="Microsoft YaHei"/>
        <w:b w:val="0"/>
        <w:i w:val="0"/>
        <w:color w:val="5B6573"/>
        <w:sz w:val="17"/>
      </w:rPr>
      <w:tab/>
      <w:t xml:space="preserve">第 </w:t>
    </w:r>
    <w:r>
      <w:rPr>
        <w:rFonts w:ascii="Calibri" w:hAnsi="Calibri" w:eastAsia="Microsoft YaHei"/>
        <w:b w:val="0"/>
        <w:i w:val="0"/>
        <w:color w:val="5B6573"/>
        <w:sz w:val="18"/>
      </w:rPr>
      <w:fldChar w:fldCharType="begin"/>
      <w:instrText xml:space="preserve"> PAGE </w:instrText>
      <w:fldChar w:fldCharType="end"/>
    </w:r>
    <w:r>
      <w:rPr>
        <w:rFonts w:ascii="Calibri" w:hAnsi="Calibri" w:eastAsia="Microsoft YaHei"/>
        <w:b w:val="0"/>
        <w:i w:val="0"/>
        <w:color w:val="5B6573"/>
        <w:sz w:val="17"/>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eastAsia="Microsoft YaHei"/>
        <w:b w:val="0"/>
        <w:i w:val="0"/>
        <w:color w:val="5B6573"/>
        <w:sz w:val="17"/>
      </w:rPr>
      <w:t>大学生 AI 游戏创作与消费研究  |  固定前置资料 3/4</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eastAsia="Microsoft YaHei"/>
      <w:color w:val="1F293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contextualSpacing/>
    </w:pPr>
    <w:rPr>
      <w:rFonts w:ascii="Calibri" w:hAnsi="Calibri" w:eastAsia="Microsoft YaHei"/>
      <w:sz w:val="22"/>
    </w:rPr>
  </w:style>
  <w:style w:type="paragraph" w:styleId="ListBullet2">
    <w:name w:val="List Bullet 2"/>
    <w:basedOn w:val="Normal"/>
    <w:uiPriority w:val="99"/>
    <w:unhideWhenUsed/>
    <w:rsid w:val="00326F90"/>
    <w:pPr>
      <w:numPr>
        <w:numId w:val="2"/>
      </w:numPr>
      <w:spacing w:after="80" w:line="300" w:lineRule="auto"/>
      <w:contextualSpacing/>
    </w:pPr>
    <w:rPr>
      <w:rFonts w:ascii="Calibri" w:hAnsi="Calibri" w:eastAsia="Microsoft YaHei"/>
      <w:sz w:val="22"/>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contextualSpacing/>
    </w:pPr>
    <w:rPr>
      <w:rFonts w:ascii="Calibri" w:hAnsi="Calibri" w:eastAsia="Microsoft YaHe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